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63" w:rsidRPr="00D97E48" w:rsidRDefault="00D76963" w:rsidP="00D76963">
      <w:pPr>
        <w:pStyle w:val="Header"/>
        <w:jc w:val="right"/>
        <w:rPr>
          <w:rFonts w:cs="Arial"/>
        </w:rPr>
      </w:pPr>
      <w:r w:rsidRPr="00D97E48">
        <w:rPr>
          <w:rFonts w:cs="Arial"/>
          <w:noProof/>
        </w:rPr>
        <w:drawing>
          <wp:anchor distT="0" distB="0" distL="114300" distR="114300" simplePos="0" relativeHeight="251661312" behindDoc="0" locked="0" layoutInCell="1" allowOverlap="1">
            <wp:simplePos x="0" y="0"/>
            <wp:positionH relativeFrom="column">
              <wp:posOffset>4662805</wp:posOffset>
            </wp:positionH>
            <wp:positionV relativeFrom="paragraph">
              <wp:posOffset>-167640</wp:posOffset>
            </wp:positionV>
            <wp:extent cx="1285875" cy="1352550"/>
            <wp:effectExtent l="0" t="0" r="0" b="0"/>
            <wp:wrapSquare wrapText="bothSides"/>
            <wp:docPr id="2" name="Picture 1" descr="Psycholog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D76963" w:rsidRDefault="00D76963" w:rsidP="00D76963">
      <w:pPr>
        <w:pStyle w:val="AHPRATitle"/>
        <w:spacing w:after="120"/>
      </w:pPr>
    </w:p>
    <w:p w:rsidR="00D76963" w:rsidRPr="00D97E48" w:rsidRDefault="00D76963" w:rsidP="00D76963"/>
    <w:p w:rsidR="00D76963" w:rsidRPr="00D97E48" w:rsidRDefault="00D76963" w:rsidP="00D76963"/>
    <w:p w:rsidR="00D76963" w:rsidRPr="00D97E48" w:rsidRDefault="00D76963" w:rsidP="00D76963">
      <w:pPr>
        <w:rPr>
          <w:rFonts w:ascii="Arial" w:hAnsi="Arial" w:cs="Arial"/>
          <w:lang w:val="en-US" w:eastAsia="en-US"/>
        </w:rPr>
      </w:pPr>
    </w:p>
    <w:p w:rsidR="00D76963" w:rsidRPr="00C3415D" w:rsidRDefault="00B015BD" w:rsidP="00D76963">
      <w:pPr>
        <w:pStyle w:val="AHPRADocumenttitle"/>
        <w:rPr>
          <w:rFonts w:ascii="Arial" w:hAnsi="Arial"/>
        </w:rPr>
      </w:pPr>
      <w:r>
        <w:rPr>
          <w:rFonts w:ascii="Arial" w:hAnsi="Arial"/>
          <w:noProof/>
          <w:lang w:val="en-US" w:eastAsia="en-US"/>
        </w:rPr>
        <w:pict>
          <v:shapetype id="_x0000_t32" coordsize="21600,21600" o:spt="32" o:oned="t" path="m,l21600,21600e" filled="f">
            <v:path arrowok="t" fillok="f" o:connecttype="none"/>
            <o:lock v:ext="edit" shapetype="t"/>
          </v:shapetype>
          <v:shape id="AutoShape 3" o:spid="_x0000_s1026" type="#_x0000_t32" style="position:absolute;margin-left:-154.15pt;margin-top:36.4pt;width:253.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AbM4BAACHAwAADgAAAGRycy9lMm9Eb2MueG1srFPbjtMwEH1H4h8sv9P0oqIlarpCXZaXBSrt&#10;8gFT20ksHI81dpv27xm7FxZ4Q+TBsj0zZ+ac46zuj4MTB0PRom/kbDKVwniF2vqukd9fHt/dSRET&#10;eA0OvWnkyUR5v377ZjWG2syxR6cNCQbxsR5DI/uUQl1VUfVmgDjBYDwHW6QBEh+pqzTByOiDq+bT&#10;6ftqRNKBUJkY+fbhHJTrgt+2RqVvbRtNEq6RPFsqK5V1l9dqvYK6Iwi9VZcx4B+mGMB6bnqDeoAE&#10;Yk/2L6jBKsKIbZooHCpsW6tM4cBsZtM/2Dz3EEzhwuLEcJMp/j9Y9fWwJWF1IxdSeBjYoo/7hKWz&#10;WGR5xhBrztr4LWWC6uifwxOqH1F43PTgO1OSX06Ba2e5ovqtJB9i4Ca78QtqzgHGL1odWxoyJKsg&#10;jsWS080Sc0xC8eVizi7fLaVQ11gF9bUwUEyfDQ4ibxoZE4Ht+rRB79l4pFlpA4enmPJYUF8LcleP&#10;j9a54r/zYmzkh+V8WQoiOqtzMKdF6nYbR+IA+QWVr3DkyOs0wr3XBaw3oD9d9gmsO++5ufMZj4ld&#10;xrkKc5Z4h/q0pat67HYZ+PIy83N6fS4a//p/1j8BAAD//wMAUEsDBBQABgAIAAAAIQDdtjl03gAA&#10;AAoBAAAPAAAAZHJzL2Rvd25yZXYueG1sTI9BT8MwDIXvSPyHyEhc0JasE9B1TacJiQNHtklcs8Zr&#10;C41TNela9uvxxAFutt/T8/fyzeRaccY+NJ40LOYKBFLpbUOVhsP+dZaCCNGQNa0n1PCNATbF7U1u&#10;MutHesfzLlaCQyhkRkMdY5dJGcoanQlz3yGxdvK9M5HXvpK2NyOHu1YmSj1JZxriD7Xp8KXG8ms3&#10;OA0YhseF2q5cdXi7jA8fyeVz7PZa399N2zWIiFP8M8MVn9GhYKajH8gG0WqYLVW6ZK+G54Q7XB2r&#10;lIfj70EWufxfofgBAAD//wMAUEsBAi0AFAAGAAgAAAAhAOSZw8D7AAAA4QEAABMAAAAAAAAAAAAA&#10;AAAAAAAAAFtDb250ZW50X1R5cGVzXS54bWxQSwECLQAUAAYACAAAACEAI7Jq4dcAAACUAQAACwAA&#10;AAAAAAAAAAAAAAAsAQAAX3JlbHMvLnJlbHNQSwECLQAUAAYACAAAACEAHGWAbM4BAACHAwAADgAA&#10;AAAAAAAAAAAAAAAsAgAAZHJzL2Uyb0RvYy54bWxQSwECLQAUAAYACAAAACEA3bY5dN4AAAAKAQAA&#10;DwAAAAAAAAAAAAAAAAAmBAAAZHJzL2Rvd25yZXYueG1sUEsFBgAAAAAEAAQA8wAAADEFAAAAAA==&#10;"/>
        </w:pict>
      </w:r>
      <w:r w:rsidR="00D76963" w:rsidRPr="00C3415D">
        <w:rPr>
          <w:rFonts w:ascii="Arial" w:hAnsi="Arial"/>
        </w:rPr>
        <w:t>Communiqué</w:t>
      </w:r>
    </w:p>
    <w:p w:rsidR="00D76963" w:rsidRPr="00D97E48" w:rsidRDefault="00D76963" w:rsidP="00D76963">
      <w:pPr>
        <w:rPr>
          <w:rFonts w:ascii="Arial" w:hAnsi="Arial" w:cs="Arial"/>
          <w:sz w:val="20"/>
          <w:szCs w:val="20"/>
        </w:rPr>
      </w:pPr>
    </w:p>
    <w:p w:rsidR="00D76963" w:rsidRPr="00D97E48" w:rsidRDefault="00D76963" w:rsidP="00D76963">
      <w:pPr>
        <w:pStyle w:val="Default"/>
        <w:rPr>
          <w:rFonts w:ascii="Arial" w:hAnsi="Arial" w:cs="Arial"/>
          <w:b/>
          <w:bCs/>
          <w:sz w:val="20"/>
          <w:szCs w:val="20"/>
        </w:rPr>
      </w:pPr>
    </w:p>
    <w:p w:rsidR="00D76963" w:rsidRPr="00D97E48" w:rsidRDefault="00D76963" w:rsidP="00D76963">
      <w:pPr>
        <w:pStyle w:val="Default"/>
        <w:rPr>
          <w:rFonts w:ascii="Arial" w:hAnsi="Arial" w:cs="Arial"/>
          <w:sz w:val="20"/>
          <w:szCs w:val="20"/>
        </w:rPr>
      </w:pPr>
      <w:r>
        <w:rPr>
          <w:rFonts w:ascii="Arial" w:hAnsi="Arial" w:cs="Arial"/>
          <w:b/>
          <w:sz w:val="20"/>
          <w:szCs w:val="20"/>
        </w:rPr>
        <w:t xml:space="preserve">19 December </w:t>
      </w:r>
      <w:r w:rsidRPr="00D97E48">
        <w:rPr>
          <w:rFonts w:ascii="Arial" w:hAnsi="Arial" w:cs="Arial"/>
          <w:b/>
          <w:bCs/>
          <w:sz w:val="20"/>
          <w:szCs w:val="20"/>
        </w:rPr>
        <w:t>2014</w:t>
      </w:r>
    </w:p>
    <w:p w:rsidR="00D76963" w:rsidRPr="00D97E48" w:rsidRDefault="00D76963" w:rsidP="00D76963">
      <w:pPr>
        <w:autoSpaceDE w:val="0"/>
        <w:autoSpaceDN w:val="0"/>
        <w:adjustRightInd w:val="0"/>
        <w:rPr>
          <w:rFonts w:ascii="Arial" w:hAnsi="Arial" w:cs="Arial"/>
          <w:sz w:val="20"/>
          <w:szCs w:val="20"/>
        </w:rPr>
      </w:pPr>
    </w:p>
    <w:p w:rsidR="00D76963" w:rsidRDefault="00D76963" w:rsidP="00D76963">
      <w:pPr>
        <w:autoSpaceDE w:val="0"/>
        <w:autoSpaceDN w:val="0"/>
        <w:adjustRightInd w:val="0"/>
        <w:spacing w:after="120"/>
        <w:rPr>
          <w:rFonts w:ascii="Arial" w:hAnsi="Arial" w:cs="Arial"/>
          <w:sz w:val="20"/>
          <w:szCs w:val="20"/>
        </w:rPr>
      </w:pPr>
      <w:r w:rsidRPr="00D97E48">
        <w:rPr>
          <w:rFonts w:ascii="Arial" w:hAnsi="Arial" w:cs="Arial"/>
          <w:sz w:val="20"/>
          <w:szCs w:val="20"/>
        </w:rPr>
        <w:t>The Psychology Board of Australia (the Board) is established under the Health Practitioner Regulation National Law, as in force in ea</w:t>
      </w:r>
      <w:bookmarkStart w:id="0" w:name="_GoBack"/>
      <w:bookmarkEnd w:id="0"/>
      <w:r w:rsidRPr="00D97E48">
        <w:rPr>
          <w:rFonts w:ascii="Arial" w:hAnsi="Arial" w:cs="Arial"/>
          <w:sz w:val="20"/>
          <w:szCs w:val="20"/>
        </w:rPr>
        <w:t xml:space="preserve">ch state and territory (the National Law). </w:t>
      </w:r>
    </w:p>
    <w:p w:rsidR="00D76963" w:rsidRDefault="00D76963" w:rsidP="00D76963">
      <w:pPr>
        <w:autoSpaceDE w:val="0"/>
        <w:autoSpaceDN w:val="0"/>
        <w:adjustRightInd w:val="0"/>
        <w:spacing w:after="120"/>
        <w:rPr>
          <w:rFonts w:ascii="Arial" w:hAnsi="Arial" w:cs="Arial"/>
          <w:sz w:val="20"/>
          <w:szCs w:val="20"/>
        </w:rPr>
      </w:pPr>
      <w:r w:rsidRPr="00D97E48">
        <w:rPr>
          <w:rFonts w:ascii="Arial" w:hAnsi="Arial" w:cs="Arial"/>
          <w:sz w:val="20"/>
          <w:szCs w:val="20"/>
        </w:rPr>
        <w:t>This communiqué highlights key issues from the 5</w:t>
      </w:r>
      <w:r>
        <w:rPr>
          <w:rFonts w:ascii="Arial" w:hAnsi="Arial" w:cs="Arial"/>
          <w:sz w:val="20"/>
          <w:szCs w:val="20"/>
        </w:rPr>
        <w:t>9</w:t>
      </w:r>
      <w:r w:rsidRPr="00D76963">
        <w:rPr>
          <w:rFonts w:ascii="Arial" w:hAnsi="Arial" w:cs="Arial"/>
          <w:sz w:val="20"/>
          <w:szCs w:val="20"/>
          <w:vertAlign w:val="superscript"/>
        </w:rPr>
        <w:t>th</w:t>
      </w:r>
      <w:r>
        <w:rPr>
          <w:rFonts w:ascii="Arial" w:hAnsi="Arial" w:cs="Arial"/>
          <w:sz w:val="20"/>
          <w:szCs w:val="20"/>
        </w:rPr>
        <w:t xml:space="preserve"> </w:t>
      </w:r>
      <w:r w:rsidRPr="00D97E48">
        <w:rPr>
          <w:rFonts w:ascii="Arial" w:hAnsi="Arial" w:cs="Arial"/>
          <w:sz w:val="20"/>
          <w:szCs w:val="20"/>
        </w:rPr>
        <w:t>meeting</w:t>
      </w:r>
      <w:r>
        <w:rPr>
          <w:rFonts w:ascii="Arial" w:hAnsi="Arial" w:cs="Arial"/>
          <w:sz w:val="20"/>
          <w:szCs w:val="20"/>
        </w:rPr>
        <w:t xml:space="preserve"> of the Board on 19 December </w:t>
      </w:r>
      <w:r w:rsidRPr="00D97E48">
        <w:rPr>
          <w:rFonts w:ascii="Arial" w:hAnsi="Arial" w:cs="Arial"/>
          <w:sz w:val="20"/>
          <w:szCs w:val="20"/>
        </w:rPr>
        <w:t xml:space="preserve">2014. </w:t>
      </w:r>
    </w:p>
    <w:p w:rsidR="00D76963" w:rsidRDefault="00D76963" w:rsidP="00D76963">
      <w:pPr>
        <w:autoSpaceDE w:val="0"/>
        <w:autoSpaceDN w:val="0"/>
        <w:adjustRightInd w:val="0"/>
        <w:spacing w:after="120"/>
        <w:rPr>
          <w:rFonts w:ascii="Arial" w:hAnsi="Arial" w:cs="Arial"/>
          <w:sz w:val="20"/>
          <w:szCs w:val="20"/>
        </w:rPr>
      </w:pPr>
      <w:r w:rsidRPr="00D97E48">
        <w:rPr>
          <w:rFonts w:ascii="Arial" w:hAnsi="Arial" w:cs="Arial"/>
          <w:sz w:val="20"/>
          <w:szCs w:val="20"/>
        </w:rPr>
        <w:t>At each meeting, the Board considers a wide range of issues, many of which are routine and are not included in this communiqué.</w:t>
      </w:r>
    </w:p>
    <w:p w:rsidR="00D76963" w:rsidRPr="003A697F" w:rsidRDefault="00D76963" w:rsidP="00D76963">
      <w:pPr>
        <w:autoSpaceDE w:val="0"/>
        <w:autoSpaceDN w:val="0"/>
        <w:adjustRightInd w:val="0"/>
        <w:spacing w:after="120"/>
        <w:rPr>
          <w:rFonts w:ascii="Arial" w:hAnsi="Arial" w:cs="Arial"/>
          <w:b/>
          <w:color w:val="548DD4"/>
          <w:sz w:val="20"/>
          <w:szCs w:val="20"/>
        </w:rPr>
      </w:pPr>
    </w:p>
    <w:p w:rsidR="00D76963" w:rsidRDefault="00D76963" w:rsidP="00D76963">
      <w:pPr>
        <w:autoSpaceDE w:val="0"/>
        <w:autoSpaceDN w:val="0"/>
      </w:pPr>
      <w:r>
        <w:rPr>
          <w:rFonts w:ascii="Arial" w:hAnsi="Arial" w:cs="Arial"/>
          <w:b/>
          <w:bCs/>
          <w:color w:val="298BC4"/>
          <w:sz w:val="20"/>
          <w:szCs w:val="20"/>
          <w:lang w:val="en-US"/>
        </w:rPr>
        <w:t>Consultation paper released - Review of the Provisional registration standard and Guidelines for the 4+2 internship program</w:t>
      </w:r>
    </w:p>
    <w:p w:rsidR="00D76963" w:rsidRDefault="00D76963" w:rsidP="00D76963">
      <w:r>
        <w:rPr>
          <w:rFonts w:ascii="Arial" w:hAnsi="Arial" w:cs="Arial"/>
          <w:sz w:val="20"/>
          <w:szCs w:val="20"/>
        </w:rPr>
        <w:t>  </w:t>
      </w:r>
    </w:p>
    <w:p w:rsidR="00D76963" w:rsidRDefault="00D76963" w:rsidP="00D76963">
      <w:r>
        <w:rPr>
          <w:rFonts w:ascii="Arial" w:hAnsi="Arial" w:cs="Arial"/>
          <w:sz w:val="20"/>
          <w:szCs w:val="20"/>
        </w:rPr>
        <w:t>The Board has published a consultation paper seeking input on proposals to update the Provisional registration standard and the Guidelines for the 4+2 internship program.</w:t>
      </w:r>
    </w:p>
    <w:p w:rsidR="00D76963" w:rsidRDefault="00D76963" w:rsidP="00D76963">
      <w:r>
        <w:rPr>
          <w:rFonts w:ascii="Arial" w:hAnsi="Arial" w:cs="Arial"/>
          <w:sz w:val="20"/>
          <w:szCs w:val="20"/>
        </w:rPr>
        <w:t> </w:t>
      </w:r>
    </w:p>
    <w:p w:rsidR="00D76963" w:rsidRDefault="00D76963" w:rsidP="00D76963">
      <w:r>
        <w:rPr>
          <w:rFonts w:ascii="Arial" w:hAnsi="Arial" w:cs="Arial"/>
          <w:sz w:val="20"/>
          <w:szCs w:val="20"/>
        </w:rPr>
        <w:t xml:space="preserve">The Board is asking the community and practitioners to have their say on the standard that psychologists must meet for entry into the profession as a provisional psychologist; and the requirements for developing the knowledge, skills and competence required for entry into general registration via the 4+2 internship program pathway. </w:t>
      </w:r>
    </w:p>
    <w:p w:rsidR="00D76963" w:rsidRDefault="00D76963" w:rsidP="00D76963">
      <w:r>
        <w:rPr>
          <w:rFonts w:ascii="Arial" w:hAnsi="Arial" w:cs="Arial"/>
          <w:sz w:val="20"/>
          <w:szCs w:val="20"/>
        </w:rPr>
        <w:t> </w:t>
      </w:r>
    </w:p>
    <w:p w:rsidR="00D76963" w:rsidRDefault="00D76963" w:rsidP="00D76963">
      <w:r>
        <w:rPr>
          <w:rFonts w:ascii="Arial" w:hAnsi="Arial" w:cs="Arial"/>
          <w:sz w:val="20"/>
          <w:szCs w:val="20"/>
        </w:rPr>
        <w:t>The consultation paper also includes exposure drafts of the General registration standard and the Policy on recency of practice requirements which have been revised following public consultation in 2014, and the proposed suite of reporting and recording forms to support the 4+2 internship program.</w:t>
      </w:r>
    </w:p>
    <w:p w:rsidR="00D76963" w:rsidRDefault="00D76963" w:rsidP="00D76963">
      <w:r>
        <w:rPr>
          <w:rFonts w:ascii="Arial" w:hAnsi="Arial" w:cs="Arial"/>
          <w:sz w:val="20"/>
          <w:szCs w:val="20"/>
        </w:rPr>
        <w:t> </w:t>
      </w:r>
    </w:p>
    <w:p w:rsidR="00D76963" w:rsidRDefault="00D76963" w:rsidP="00D76963">
      <w:r>
        <w:rPr>
          <w:rFonts w:ascii="Arial" w:hAnsi="Arial" w:cs="Arial"/>
          <w:sz w:val="20"/>
          <w:szCs w:val="20"/>
        </w:rPr>
        <w:t xml:space="preserve">The Board is keen to hear from all stakeholders on any aspect of the proposed revisions to the standard or guideline. The consultation paper is available under </w:t>
      </w:r>
      <w:hyperlink r:id="rId8" w:history="1">
        <w:r>
          <w:rPr>
            <w:rStyle w:val="Hyperlink"/>
            <w:rFonts w:ascii="Arial" w:hAnsi="Arial" w:cs="Arial"/>
            <w:sz w:val="20"/>
            <w:szCs w:val="20"/>
          </w:rPr>
          <w:t>Current consultations</w:t>
        </w:r>
      </w:hyperlink>
      <w:r>
        <w:rPr>
          <w:rFonts w:ascii="Arial" w:hAnsi="Arial" w:cs="Arial"/>
          <w:sz w:val="20"/>
          <w:szCs w:val="20"/>
        </w:rPr>
        <w:t xml:space="preserve"> and the Board is accepting submission until Friday 27 February 2015.</w:t>
      </w:r>
    </w:p>
    <w:p w:rsidR="00D76963" w:rsidRDefault="00D76963" w:rsidP="00D76963">
      <w:pPr>
        <w:pStyle w:val="NoSpacing"/>
        <w:rPr>
          <w:rFonts w:cs="Arial"/>
          <w:b/>
          <w:szCs w:val="20"/>
          <w:lang w:val="en-US"/>
        </w:rPr>
      </w:pPr>
    </w:p>
    <w:p w:rsidR="00D76963" w:rsidRPr="00D76963" w:rsidRDefault="00D76963" w:rsidP="00522837">
      <w:pPr>
        <w:pStyle w:val="AHPRASubhead"/>
      </w:pPr>
      <w:r w:rsidRPr="00D76963">
        <w:t xml:space="preserve">National Psychology Examination </w:t>
      </w:r>
      <w:r w:rsidR="00522837">
        <w:t>– updated reading list</w:t>
      </w:r>
    </w:p>
    <w:p w:rsidR="00522837" w:rsidRPr="00522837" w:rsidRDefault="00522837" w:rsidP="00522837">
      <w:pPr>
        <w:spacing w:after="160" w:line="233" w:lineRule="atLeast"/>
        <w:rPr>
          <w:rFonts w:ascii="Arial" w:hAnsi="Arial" w:cs="Arial"/>
          <w:sz w:val="20"/>
          <w:szCs w:val="20"/>
        </w:rPr>
      </w:pPr>
      <w:r w:rsidRPr="00522837">
        <w:rPr>
          <w:rFonts w:ascii="Arial" w:hAnsi="Arial" w:cs="Arial"/>
          <w:sz w:val="20"/>
          <w:szCs w:val="20"/>
        </w:rPr>
        <w:t xml:space="preserve">The Board has published an updated Exam Reading List (December 2014) which can be found on the </w:t>
      </w:r>
      <w:hyperlink r:id="rId9" w:history="1">
        <w:r w:rsidRPr="00522837">
          <w:rPr>
            <w:rStyle w:val="Hyperlink"/>
            <w:rFonts w:ascii="Arial" w:hAnsi="Arial" w:cs="Arial"/>
            <w:sz w:val="20"/>
            <w:szCs w:val="20"/>
          </w:rPr>
          <w:t>Board’s website</w:t>
        </w:r>
      </w:hyperlink>
      <w:r w:rsidRPr="00522837">
        <w:rPr>
          <w:rFonts w:ascii="Arial" w:hAnsi="Arial" w:cs="Arial"/>
          <w:sz w:val="20"/>
          <w:szCs w:val="20"/>
        </w:rPr>
        <w:t>.</w:t>
      </w:r>
      <w:r w:rsidRPr="00522837">
        <w:rPr>
          <w:rFonts w:ascii="Arial" w:eastAsia="Cambria" w:hAnsi="Arial" w:cs="Arial"/>
          <w:color w:val="000000"/>
          <w:sz w:val="20"/>
          <w:szCs w:val="20"/>
          <w:lang w:eastAsia="en-US"/>
        </w:rPr>
        <w:t xml:space="preserve"> The next window to sit the examination is between Friday 6 February and Friday 27 February 2015 and candidates can register through the </w:t>
      </w:r>
      <w:hyperlink r:id="rId10" w:history="1">
        <w:r w:rsidRPr="00232630">
          <w:rPr>
            <w:rStyle w:val="Hyperlink"/>
            <w:rFonts w:ascii="Arial" w:eastAsia="Cambria" w:hAnsi="Arial" w:cs="Arial"/>
            <w:sz w:val="20"/>
            <w:szCs w:val="20"/>
            <w:lang w:eastAsia="en-US"/>
          </w:rPr>
          <w:t>examination portal</w:t>
        </w:r>
      </w:hyperlink>
      <w:r w:rsidRPr="00522837">
        <w:rPr>
          <w:rFonts w:ascii="Arial" w:eastAsia="Cambria" w:hAnsi="Arial" w:cs="Arial"/>
          <w:color w:val="000000"/>
          <w:sz w:val="20"/>
          <w:szCs w:val="20"/>
          <w:lang w:eastAsia="en-US"/>
        </w:rPr>
        <w:t xml:space="preserve"> from </w:t>
      </w:r>
      <w:r w:rsidR="00BF283D">
        <w:rPr>
          <w:rFonts w:ascii="Arial" w:hAnsi="Arial" w:cs="Arial"/>
          <w:sz w:val="20"/>
          <w:szCs w:val="20"/>
        </w:rPr>
        <w:t xml:space="preserve">Monday 22 December 2014 to Friday </w:t>
      </w:r>
      <w:r w:rsidRPr="00522837">
        <w:rPr>
          <w:rFonts w:ascii="Arial" w:hAnsi="Arial" w:cs="Arial"/>
          <w:sz w:val="20"/>
          <w:szCs w:val="20"/>
        </w:rPr>
        <w:t xml:space="preserve">23 January 2015. </w:t>
      </w:r>
    </w:p>
    <w:p w:rsidR="00D76963" w:rsidRPr="00D97E48" w:rsidRDefault="00D76963" w:rsidP="00D76963">
      <w:pPr>
        <w:pStyle w:val="AHPRASubhead"/>
      </w:pPr>
      <w:r w:rsidRPr="00D97E48">
        <w:t>Approved programs of study</w:t>
      </w:r>
    </w:p>
    <w:p w:rsidR="005E29EE" w:rsidRDefault="00D76963" w:rsidP="005E29EE">
      <w:pPr>
        <w:pStyle w:val="AHPRAbody"/>
        <w:rPr>
          <w:rFonts w:ascii="Arial" w:hAnsi="Arial"/>
          <w:szCs w:val="20"/>
        </w:rPr>
      </w:pPr>
      <w:r w:rsidRPr="005E29EE">
        <w:rPr>
          <w:rFonts w:ascii="Arial" w:hAnsi="Arial"/>
          <w:lang w:val="en-US"/>
        </w:rPr>
        <w:t xml:space="preserve">Under section 49 of the National Law, the National Board requires accreditation reports from the Australian Psychology Accreditation Council (APAC) before approving the accredited programs of study as providing a qualification that will lead to registration.  </w:t>
      </w:r>
      <w:r w:rsidRPr="005E29EE">
        <w:rPr>
          <w:rFonts w:ascii="Arial" w:hAnsi="Arial"/>
          <w:color w:val="000000"/>
        </w:rPr>
        <w:t xml:space="preserve">At this meeting the Board approved APAC-accredited courses from </w:t>
      </w:r>
      <w:r w:rsidR="009D09D3" w:rsidRPr="005E29EE">
        <w:rPr>
          <w:rFonts w:ascii="Arial" w:hAnsi="Arial"/>
          <w:szCs w:val="20"/>
        </w:rPr>
        <w:t>Australian Catholic University, Central Queensland University, Charles Sturt University, Federation University Australia, Flinders University, Griffith University, James Cook University, Macquarie University Monash University, Murdoch University, Queensland University of Technology, Southern Cross University, Swinburne University of Technology, University of Adelaide, University of Melbourne, University of New England, University of New South Wales, University of the Sunshine Coast, University of Wollongong, Victoria University.</w:t>
      </w:r>
    </w:p>
    <w:p w:rsidR="005E29EE" w:rsidRDefault="005E29EE" w:rsidP="005E29EE">
      <w:pPr>
        <w:pStyle w:val="AHPRAbody"/>
        <w:rPr>
          <w:rFonts w:ascii="Arial" w:hAnsi="Arial"/>
          <w:szCs w:val="20"/>
        </w:rPr>
      </w:pPr>
    </w:p>
    <w:p w:rsidR="005E29EE" w:rsidRPr="005E29EE" w:rsidRDefault="005E29EE" w:rsidP="005E29EE">
      <w:pPr>
        <w:pStyle w:val="AHPRAbody"/>
        <w:rPr>
          <w:rFonts w:ascii="Arial" w:hAnsi="Arial"/>
          <w:lang w:val="en-US"/>
        </w:rPr>
      </w:pPr>
      <w:r>
        <w:rPr>
          <w:rFonts w:ascii="Arial" w:hAnsi="Arial"/>
          <w:szCs w:val="20"/>
        </w:rPr>
        <w:t xml:space="preserve">The Board also approved the discontinuation of a number of courses across the country in accordance with s.51(2) of the National Law, including courses at </w:t>
      </w:r>
      <w:r w:rsidRPr="009D09D3">
        <w:rPr>
          <w:rFonts w:ascii="Arial" w:hAnsi="Arial"/>
          <w:szCs w:val="20"/>
        </w:rPr>
        <w:t xml:space="preserve">Bond University, Central Queensland University, Deakin University, Federation University Australia , Flinders University, Griffith </w:t>
      </w:r>
      <w:r w:rsidRPr="009D09D3">
        <w:rPr>
          <w:rFonts w:ascii="Arial" w:hAnsi="Arial"/>
          <w:szCs w:val="20"/>
        </w:rPr>
        <w:lastRenderedPageBreak/>
        <w:t>University, University of Canberra, University of New England , University of New South Wales, University of Western Sydney, James Cook University , Macquarie University, University of New South Wales, University of Wollongong, Victoria University</w:t>
      </w:r>
      <w:r>
        <w:rPr>
          <w:rFonts w:ascii="Arial" w:hAnsi="Arial"/>
          <w:szCs w:val="20"/>
        </w:rPr>
        <w:t>.</w:t>
      </w:r>
      <w:r w:rsidRPr="009D09D3">
        <w:rPr>
          <w:rFonts w:ascii="Arial" w:hAnsi="Arial"/>
          <w:szCs w:val="20"/>
        </w:rPr>
        <w:t xml:space="preserve"> </w:t>
      </w:r>
      <w:r>
        <w:rPr>
          <w:rFonts w:ascii="Arial" w:hAnsi="Arial"/>
          <w:szCs w:val="20"/>
        </w:rPr>
        <w:t>Students currently enrolled in these courses will still have their qualification recognised for registration once they graduate, but there will be no new enrolments for these courses.</w:t>
      </w:r>
    </w:p>
    <w:p w:rsidR="005E29EE" w:rsidRDefault="005E29EE" w:rsidP="00D76963">
      <w:pPr>
        <w:spacing w:after="120"/>
        <w:rPr>
          <w:rFonts w:ascii="Arial" w:hAnsi="Arial" w:cs="Arial"/>
          <w:sz w:val="20"/>
          <w:szCs w:val="20"/>
        </w:rPr>
      </w:pPr>
    </w:p>
    <w:p w:rsidR="00D76963" w:rsidRPr="009B7E8F" w:rsidRDefault="005E29EE" w:rsidP="00D76963">
      <w:pPr>
        <w:spacing w:after="120"/>
        <w:rPr>
          <w:rFonts w:ascii="Arial" w:hAnsi="Arial" w:cs="Arial"/>
          <w:sz w:val="20"/>
          <w:szCs w:val="20"/>
        </w:rPr>
      </w:pPr>
      <w:r>
        <w:rPr>
          <w:rFonts w:ascii="Arial" w:hAnsi="Arial" w:cs="Arial"/>
          <w:sz w:val="20"/>
          <w:szCs w:val="20"/>
        </w:rPr>
        <w:t>An</w:t>
      </w:r>
      <w:r w:rsidRPr="006D08BF">
        <w:rPr>
          <w:rFonts w:ascii="Arial" w:hAnsi="Arial" w:cs="Arial"/>
          <w:sz w:val="20"/>
          <w:szCs w:val="20"/>
        </w:rPr>
        <w:t xml:space="preserve"> updated list of Board-approved qualifications will </w:t>
      </w:r>
      <w:r>
        <w:rPr>
          <w:rFonts w:ascii="Arial" w:hAnsi="Arial" w:cs="Arial"/>
          <w:sz w:val="20"/>
          <w:szCs w:val="20"/>
        </w:rPr>
        <w:t xml:space="preserve">soon </w:t>
      </w:r>
      <w:r w:rsidRPr="006D08BF">
        <w:rPr>
          <w:rFonts w:ascii="Arial" w:hAnsi="Arial" w:cs="Arial"/>
          <w:sz w:val="20"/>
          <w:szCs w:val="20"/>
        </w:rPr>
        <w:t xml:space="preserve">be published </w:t>
      </w:r>
      <w:r>
        <w:rPr>
          <w:rFonts w:ascii="Arial" w:hAnsi="Arial" w:cs="Arial"/>
          <w:sz w:val="20"/>
          <w:szCs w:val="20"/>
        </w:rPr>
        <w:t xml:space="preserve">under </w:t>
      </w:r>
      <w:hyperlink r:id="rId11" w:history="1">
        <w:r w:rsidRPr="008C33BF">
          <w:rPr>
            <w:rStyle w:val="Hyperlink"/>
            <w:rFonts w:ascii="Arial" w:hAnsi="Arial" w:cs="Arial"/>
            <w:i/>
            <w:sz w:val="20"/>
            <w:szCs w:val="20"/>
          </w:rPr>
          <w:t>Accreditation</w:t>
        </w:r>
      </w:hyperlink>
      <w:r>
        <w:rPr>
          <w:rFonts w:ascii="Arial" w:hAnsi="Arial" w:cs="Arial"/>
          <w:sz w:val="20"/>
          <w:szCs w:val="20"/>
        </w:rPr>
        <w:t xml:space="preserve"> </w:t>
      </w:r>
      <w:r w:rsidRPr="006D08BF">
        <w:rPr>
          <w:rFonts w:ascii="Arial" w:hAnsi="Arial" w:cs="Arial"/>
          <w:sz w:val="20"/>
          <w:szCs w:val="20"/>
        </w:rPr>
        <w:t>on the Board’s website</w:t>
      </w:r>
    </w:p>
    <w:p w:rsidR="00D76963" w:rsidRPr="0063022D" w:rsidRDefault="00D76963" w:rsidP="00D76963">
      <w:pPr>
        <w:pStyle w:val="AHPRAbody"/>
        <w:rPr>
          <w:rFonts w:ascii="Arial" w:hAnsi="Arial"/>
        </w:rPr>
      </w:pPr>
    </w:p>
    <w:p w:rsidR="007B11B1" w:rsidRDefault="00D76963" w:rsidP="007B11B1">
      <w:pPr>
        <w:pStyle w:val="AHPRAbody"/>
        <w:rPr>
          <w:rFonts w:ascii="Arial" w:hAnsi="Arial"/>
        </w:rPr>
      </w:pPr>
      <w:r w:rsidRPr="007B11B1">
        <w:rPr>
          <w:rFonts w:ascii="Arial" w:hAnsi="Arial"/>
        </w:rPr>
        <w:t>Professor Brin Grenyer</w:t>
      </w:r>
    </w:p>
    <w:p w:rsidR="007B11B1" w:rsidRDefault="00D76963" w:rsidP="007B11B1">
      <w:pPr>
        <w:pStyle w:val="AHPRASubhead"/>
      </w:pPr>
      <w:r w:rsidRPr="007B11B1">
        <w:t>Chair</w:t>
      </w:r>
      <w:r w:rsidR="007B11B1" w:rsidRPr="007B11B1">
        <w:t xml:space="preserve">, </w:t>
      </w:r>
      <w:r w:rsidRPr="007B11B1">
        <w:t>Psychology Board of Australia</w:t>
      </w:r>
    </w:p>
    <w:p w:rsidR="00D76963" w:rsidRPr="007B11B1" w:rsidRDefault="0029160A" w:rsidP="007B11B1">
      <w:pPr>
        <w:rPr>
          <w:rFonts w:ascii="Arial" w:hAnsi="Arial" w:cs="Arial"/>
          <w:sz w:val="20"/>
          <w:szCs w:val="20"/>
        </w:rPr>
      </w:pPr>
      <w:r>
        <w:rPr>
          <w:rFonts w:ascii="Arial" w:hAnsi="Arial" w:cs="Arial"/>
          <w:sz w:val="20"/>
          <w:szCs w:val="20"/>
        </w:rPr>
        <w:t xml:space="preserve">5 </w:t>
      </w:r>
      <w:r w:rsidR="00D76963" w:rsidRPr="007B11B1">
        <w:rPr>
          <w:rFonts w:ascii="Arial" w:hAnsi="Arial" w:cs="Arial"/>
          <w:sz w:val="20"/>
          <w:szCs w:val="20"/>
        </w:rPr>
        <w:t>January 201</w:t>
      </w:r>
      <w:r w:rsidR="00690F76" w:rsidRPr="007B11B1">
        <w:rPr>
          <w:rFonts w:ascii="Arial" w:hAnsi="Arial" w:cs="Arial"/>
          <w:sz w:val="20"/>
          <w:szCs w:val="20"/>
        </w:rPr>
        <w:t>5</w:t>
      </w:r>
    </w:p>
    <w:sectPr w:rsidR="00D76963" w:rsidRPr="007B11B1" w:rsidSect="009D09D3">
      <w:footerReference w:type="default" r:id="rId12"/>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A7" w:rsidRDefault="00F370A7" w:rsidP="00F370A7">
      <w:r>
        <w:separator/>
      </w:r>
    </w:p>
  </w:endnote>
  <w:endnote w:type="continuationSeparator" w:id="0">
    <w:p w:rsidR="00F370A7" w:rsidRDefault="00F370A7" w:rsidP="00F3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D3" w:rsidRPr="00651371" w:rsidRDefault="00F370A7">
    <w:pPr>
      <w:pStyle w:val="Footer"/>
      <w:jc w:val="center"/>
      <w:rPr>
        <w:rFonts w:ascii="Arial" w:hAnsi="Arial" w:cs="Arial"/>
        <w:sz w:val="20"/>
        <w:szCs w:val="20"/>
      </w:rPr>
    </w:pPr>
    <w:r w:rsidRPr="00651371">
      <w:rPr>
        <w:rFonts w:ascii="Arial" w:hAnsi="Arial" w:cs="Arial"/>
        <w:sz w:val="20"/>
        <w:szCs w:val="20"/>
      </w:rPr>
      <w:fldChar w:fldCharType="begin"/>
    </w:r>
    <w:r w:rsidR="009D09D3" w:rsidRPr="00651371">
      <w:rPr>
        <w:rFonts w:ascii="Arial" w:hAnsi="Arial" w:cs="Arial"/>
        <w:sz w:val="20"/>
        <w:szCs w:val="20"/>
      </w:rPr>
      <w:instrText xml:space="preserve"> PAGE   \* MERGEFORMAT </w:instrText>
    </w:r>
    <w:r w:rsidRPr="00651371">
      <w:rPr>
        <w:rFonts w:ascii="Arial" w:hAnsi="Arial" w:cs="Arial"/>
        <w:sz w:val="20"/>
        <w:szCs w:val="20"/>
      </w:rPr>
      <w:fldChar w:fldCharType="separate"/>
    </w:r>
    <w:r w:rsidR="00B015BD">
      <w:rPr>
        <w:rFonts w:ascii="Arial" w:hAnsi="Arial" w:cs="Arial"/>
        <w:noProof/>
        <w:sz w:val="20"/>
        <w:szCs w:val="20"/>
      </w:rPr>
      <w:t>2</w:t>
    </w:r>
    <w:r w:rsidRPr="00651371">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A7" w:rsidRDefault="00F370A7" w:rsidP="00F370A7">
      <w:r>
        <w:separator/>
      </w:r>
    </w:p>
  </w:footnote>
  <w:footnote w:type="continuationSeparator" w:id="0">
    <w:p w:rsidR="00F370A7" w:rsidRDefault="00F370A7" w:rsidP="00F37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A47027E"/>
    <w:multiLevelType w:val="multilevel"/>
    <w:tmpl w:val="A8BA8D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5"/>
  </w:num>
  <w:num w:numId="6">
    <w:abstractNumId w:val="11"/>
  </w:num>
  <w:num w:numId="7">
    <w:abstractNumId w:val="11"/>
  </w:num>
  <w:num w:numId="8">
    <w:abstractNumId w:val="10"/>
  </w:num>
  <w:num w:numId="9">
    <w:abstractNumId w:val="10"/>
  </w:num>
  <w:num w:numId="10">
    <w:abstractNumId w:val="9"/>
  </w:num>
  <w:num w:numId="11">
    <w:abstractNumId w:val="9"/>
    <w:lvlOverride w:ilvl="0">
      <w:lvl w:ilvl="0">
        <w:start w:val="1"/>
        <w:numFmt w:val="decimal"/>
        <w:lvlText w:val="%1"/>
        <w:lvlJc w:val="left"/>
        <w:pPr>
          <w:ind w:left="284" w:hanging="284"/>
        </w:pPr>
        <w:rPr>
          <w:rFonts w:ascii="Arial" w:hAnsi="Arial" w:hint="default"/>
          <w:b/>
          <w:color w:val="008EC4"/>
          <w:sz w:val="20"/>
        </w:rPr>
      </w:lvl>
    </w:lvlOverride>
  </w:num>
  <w:num w:numId="12">
    <w:abstractNumId w:val="9"/>
    <w:lvlOverride w:ilvl="0">
      <w:lvl w:ilvl="0">
        <w:start w:val="1"/>
        <w:numFmt w:val="decimal"/>
        <w:lvlText w:val="%1"/>
        <w:lvlJc w:val="left"/>
        <w:pPr>
          <w:ind w:left="284" w:hanging="284"/>
        </w:pPr>
        <w:rPr>
          <w:rFonts w:ascii="Arial" w:hAnsi="Arial" w:hint="default"/>
          <w:b/>
          <w:color w:val="008EC4"/>
          <w:sz w:val="20"/>
        </w:rPr>
      </w:lvl>
    </w:lvlOverride>
  </w:num>
  <w:num w:numId="13">
    <w:abstractNumId w:val="3"/>
  </w:num>
  <w:num w:numId="14">
    <w:abstractNumId w:val="1"/>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
  </w:num>
  <w:num w:numId="22">
    <w:abstractNumId w:val="2"/>
  </w:num>
  <w:num w:numId="23">
    <w:abstractNumId w:val="2"/>
  </w:num>
  <w:num w:numId="24">
    <w:abstractNumId w:val="6"/>
  </w:num>
  <w:num w:numId="25">
    <w:abstractNumId w:val="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6963"/>
    <w:rsid w:val="00232630"/>
    <w:rsid w:val="0029160A"/>
    <w:rsid w:val="003A0266"/>
    <w:rsid w:val="00522837"/>
    <w:rsid w:val="005E29EE"/>
    <w:rsid w:val="006311B8"/>
    <w:rsid w:val="00690F76"/>
    <w:rsid w:val="00741498"/>
    <w:rsid w:val="007B11B1"/>
    <w:rsid w:val="009D09D3"/>
    <w:rsid w:val="009F3D79"/>
    <w:rsid w:val="00A76DCC"/>
    <w:rsid w:val="00B015BD"/>
    <w:rsid w:val="00B569B5"/>
    <w:rsid w:val="00BF283D"/>
    <w:rsid w:val="00CD3FE0"/>
    <w:rsid w:val="00D121D5"/>
    <w:rsid w:val="00D76963"/>
    <w:rsid w:val="00D76BB8"/>
    <w:rsid w:val="00E0714F"/>
    <w:rsid w:val="00F3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3"/>
      </o:rules>
    </o:shapelayout>
  </w:shapeDefaults>
  <w:decimalSymbol w:val="."/>
  <w:listSeparator w:val=","/>
  <w15:docId w15:val="{4A939A76-70F7-424C-99FE-075BB67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6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A02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A026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14F"/>
    <w:pPr>
      <w:spacing w:after="0" w:line="240" w:lineRule="auto"/>
    </w:pPr>
  </w:style>
  <w:style w:type="paragraph" w:styleId="ListParagraph">
    <w:name w:val="List Paragraph"/>
    <w:basedOn w:val="Normal"/>
    <w:uiPriority w:val="34"/>
    <w:qFormat/>
    <w:rsid w:val="00E0714F"/>
    <w:pPr>
      <w:ind w:left="720"/>
      <w:contextualSpacing/>
    </w:pPr>
  </w:style>
  <w:style w:type="character" w:styleId="IntenseEmphasis">
    <w:name w:val="Intense Emphasis"/>
    <w:aliases w:val="AHPRA- Footer"/>
    <w:uiPriority w:val="1"/>
    <w:unhideWhenUsed/>
    <w:qFormat/>
    <w:rsid w:val="003A0266"/>
    <w:rPr>
      <w:rFonts w:ascii="Arial" w:hAnsi="Arial" w:cs="Arial"/>
      <w:sz w:val="16"/>
    </w:rPr>
  </w:style>
  <w:style w:type="paragraph" w:customStyle="1" w:styleId="AHPRAbody">
    <w:name w:val="AHPRA body"/>
    <w:basedOn w:val="Normal"/>
    <w:link w:val="AHPRAbodyChar"/>
    <w:qFormat/>
    <w:rsid w:val="003A0266"/>
    <w:rPr>
      <w:rFonts w:cs="Arial"/>
      <w:sz w:val="20"/>
    </w:rPr>
  </w:style>
  <w:style w:type="character" w:customStyle="1" w:styleId="AHPRAbodyChar">
    <w:name w:val="AHPRA body Char"/>
    <w:basedOn w:val="DefaultParagraphFont"/>
    <w:link w:val="AHPRAbody"/>
    <w:rsid w:val="00E0714F"/>
    <w:rPr>
      <w:rFonts w:eastAsia="Cambria" w:cs="Arial"/>
      <w:szCs w:val="24"/>
    </w:rPr>
  </w:style>
  <w:style w:type="paragraph" w:customStyle="1" w:styleId="AHPRANumberedlistlevel1">
    <w:name w:val="AHPRA Numbered list level 1"/>
    <w:basedOn w:val="AHPRABulletlevel1"/>
    <w:qFormat/>
    <w:rsid w:val="003A0266"/>
    <w:pPr>
      <w:numPr>
        <w:numId w:val="20"/>
      </w:numPr>
    </w:pPr>
  </w:style>
  <w:style w:type="paragraph" w:customStyle="1" w:styleId="para">
    <w:name w:val="para"/>
    <w:uiPriority w:val="1"/>
    <w:qFormat/>
    <w:rsid w:val="00E0714F"/>
    <w:pPr>
      <w:spacing w:after="240" w:line="240" w:lineRule="auto"/>
      <w:ind w:left="425"/>
    </w:pPr>
    <w:rPr>
      <w:rFonts w:eastAsia="Calibri" w:cs="Times New Roman"/>
    </w:rPr>
  </w:style>
  <w:style w:type="paragraph" w:customStyle="1" w:styleId="AHPRAbodybold">
    <w:name w:val="AHPRA body bold"/>
    <w:basedOn w:val="AHPRAbody"/>
    <w:qFormat/>
    <w:rsid w:val="003A0266"/>
    <w:rPr>
      <w:b/>
    </w:rPr>
  </w:style>
  <w:style w:type="paragraph" w:customStyle="1" w:styleId="AHPRAbodyContextparanumbered">
    <w:name w:val="AHPRA body 'Context' para numbered"/>
    <w:uiPriority w:val="1"/>
    <w:qFormat/>
    <w:rsid w:val="003A0266"/>
    <w:pPr>
      <w:numPr>
        <w:numId w:val="3"/>
      </w:numPr>
      <w:spacing w:line="240" w:lineRule="auto"/>
    </w:pPr>
    <w:rPr>
      <w:rFonts w:cs="Arial"/>
      <w:szCs w:val="24"/>
    </w:rPr>
  </w:style>
  <w:style w:type="paragraph" w:customStyle="1" w:styleId="AHPRAbodyitalics">
    <w:name w:val="AHPRA body italics"/>
    <w:basedOn w:val="AHPRAbodybold"/>
    <w:qFormat/>
    <w:rsid w:val="003A0266"/>
    <w:rPr>
      <w:b w:val="0"/>
      <w:i/>
    </w:rPr>
  </w:style>
  <w:style w:type="paragraph" w:customStyle="1" w:styleId="AHPRAbodytext">
    <w:name w:val="AHPRA body text"/>
    <w:basedOn w:val="Normal"/>
    <w:rsid w:val="003A0266"/>
    <w:rPr>
      <w:rFonts w:cs="Arial"/>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3A0266"/>
    <w:pPr>
      <w:numPr>
        <w:numId w:val="25"/>
      </w:numPr>
    </w:pPr>
    <w:rPr>
      <w:sz w:val="20"/>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3A0266"/>
    <w:pPr>
      <w:outlineLvl w:val="0"/>
    </w:pPr>
    <w:rPr>
      <w:rFonts w:cs="Arial"/>
      <w:color w:val="5F6062"/>
      <w:sz w:val="28"/>
      <w:szCs w:val="52"/>
    </w:rPr>
  </w:style>
  <w:style w:type="paragraph" w:customStyle="1" w:styleId="AHPRADocumenttitle">
    <w:name w:val="AHPRA Document title"/>
    <w:basedOn w:val="Normal"/>
    <w:rsid w:val="003A0266"/>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rFonts w:cs="Arial"/>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qFormat/>
    <w:rsid w:val="003A0266"/>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3A0266"/>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3A0266"/>
    <w:rPr>
      <w:color w:val="auto"/>
    </w:rPr>
  </w:style>
  <w:style w:type="paragraph" w:customStyle="1" w:styleId="AHPRASubheadinglevel3">
    <w:name w:val="AHPRA Subheading level 3"/>
    <w:basedOn w:val="AHPRASubheading"/>
    <w:next w:val="Normal"/>
    <w:qFormat/>
    <w:rsid w:val="003A0266"/>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3A0266"/>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3A02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3A0266"/>
    <w:rPr>
      <w:rFonts w:asciiTheme="majorHAnsi" w:eastAsiaTheme="majorEastAsia" w:hAnsiTheme="majorHAnsi" w:cstheme="majorBidi"/>
      <w:b/>
      <w:bCs/>
      <w:sz w:val="26"/>
      <w:szCs w:val="26"/>
    </w:rPr>
  </w:style>
  <w:style w:type="character" w:styleId="Hyperlink">
    <w:name w:val="Hyperlink"/>
    <w:unhideWhenUsed/>
    <w:rsid w:val="003A0266"/>
    <w:rPr>
      <w:color w:val="0000FF"/>
      <w:u w:val="single"/>
    </w:rPr>
  </w:style>
  <w:style w:type="character" w:styleId="Strong">
    <w:name w:val="Strong"/>
    <w:basedOn w:val="DefaultParagraphFont"/>
    <w:uiPriority w:val="22"/>
    <w:qFormat/>
    <w:rsid w:val="003A0266"/>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pPr>
      <w:spacing w:after="0" w:line="240" w:lineRule="auto"/>
    </w:pPr>
    <w:rPr>
      <w:rFonts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line="276" w:lineRule="auto"/>
      <w:outlineLvl w:val="9"/>
    </w:pPr>
    <w:rPr>
      <w:szCs w:val="28"/>
    </w:rPr>
  </w:style>
  <w:style w:type="paragraph" w:customStyle="1" w:styleId="Default">
    <w:name w:val="Default"/>
    <w:rsid w:val="00D76963"/>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D76963"/>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D76963"/>
    <w:pPr>
      <w:spacing w:after="200"/>
    </w:pPr>
    <w:rPr>
      <w:rFonts w:ascii="Arial" w:eastAsia="Cambria" w:hAnsi="Arial"/>
      <w:b/>
      <w:color w:val="008EC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5932">
      <w:bodyDiv w:val="1"/>
      <w:marLeft w:val="0"/>
      <w:marRight w:val="0"/>
      <w:marTop w:val="0"/>
      <w:marBottom w:val="0"/>
      <w:divBdr>
        <w:top w:val="none" w:sz="0" w:space="0" w:color="auto"/>
        <w:left w:val="none" w:sz="0" w:space="0" w:color="auto"/>
        <w:bottom w:val="none" w:sz="0" w:space="0" w:color="auto"/>
        <w:right w:val="none" w:sz="0" w:space="0" w:color="auto"/>
      </w:divBdr>
    </w:div>
    <w:div w:id="730154420">
      <w:bodyDiv w:val="1"/>
      <w:marLeft w:val="0"/>
      <w:marRight w:val="0"/>
      <w:marTop w:val="0"/>
      <w:marBottom w:val="0"/>
      <w:divBdr>
        <w:top w:val="none" w:sz="0" w:space="0" w:color="auto"/>
        <w:left w:val="none" w:sz="0" w:space="0" w:color="auto"/>
        <w:bottom w:val="none" w:sz="0" w:space="0" w:color="auto"/>
        <w:right w:val="none" w:sz="0" w:space="0" w:color="auto"/>
      </w:divBdr>
      <w:divsChild>
        <w:div w:id="1092971135">
          <w:marLeft w:val="0"/>
          <w:marRight w:val="0"/>
          <w:marTop w:val="0"/>
          <w:marBottom w:val="0"/>
          <w:divBdr>
            <w:top w:val="none" w:sz="0" w:space="0" w:color="auto"/>
            <w:left w:val="none" w:sz="0" w:space="0" w:color="auto"/>
            <w:bottom w:val="none" w:sz="0" w:space="0" w:color="auto"/>
            <w:right w:val="none" w:sz="0" w:space="0" w:color="auto"/>
          </w:divBdr>
          <w:divsChild>
            <w:div w:id="1330519264">
              <w:marLeft w:val="0"/>
              <w:marRight w:val="0"/>
              <w:marTop w:val="0"/>
              <w:marBottom w:val="0"/>
              <w:divBdr>
                <w:top w:val="none" w:sz="0" w:space="0" w:color="auto"/>
                <w:left w:val="none" w:sz="0" w:space="0" w:color="auto"/>
                <w:bottom w:val="none" w:sz="0" w:space="0" w:color="auto"/>
                <w:right w:val="none" w:sz="0" w:space="0" w:color="auto"/>
              </w:divBdr>
              <w:divsChild>
                <w:div w:id="323780025">
                  <w:marLeft w:val="0"/>
                  <w:marRight w:val="0"/>
                  <w:marTop w:val="0"/>
                  <w:marBottom w:val="0"/>
                  <w:divBdr>
                    <w:top w:val="none" w:sz="0" w:space="0" w:color="auto"/>
                    <w:left w:val="none" w:sz="0" w:space="0" w:color="auto"/>
                    <w:bottom w:val="none" w:sz="0" w:space="0" w:color="auto"/>
                    <w:right w:val="none" w:sz="0" w:space="0" w:color="auto"/>
                  </w:divBdr>
                  <w:divsChild>
                    <w:div w:id="1975403865">
                      <w:marLeft w:val="0"/>
                      <w:marRight w:val="0"/>
                      <w:marTop w:val="87"/>
                      <w:marBottom w:val="109"/>
                      <w:divBdr>
                        <w:top w:val="single" w:sz="4" w:space="5" w:color="FFFFFF"/>
                        <w:left w:val="single" w:sz="4" w:space="5" w:color="FFFFFF"/>
                        <w:bottom w:val="single" w:sz="4" w:space="5" w:color="FFFFFF"/>
                        <w:right w:val="single" w:sz="4" w:space="5" w:color="FFFFFF"/>
                      </w:divBdr>
                      <w:divsChild>
                        <w:div w:id="6830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News/Current-Consultation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board.gov.au/Accreditation.aspx" TargetMode="External"/><Relationship Id="rId5" Type="http://schemas.openxmlformats.org/officeDocument/2006/relationships/footnotes" Target="footnotes.xml"/><Relationship Id="rId10" Type="http://schemas.openxmlformats.org/officeDocument/2006/relationships/hyperlink" Target="https://www.webassessor.com/ahpra/index.html" TargetMode="External"/><Relationship Id="rId4" Type="http://schemas.openxmlformats.org/officeDocument/2006/relationships/webSettings" Target="webSettings.xml"/><Relationship Id="rId9" Type="http://schemas.openxmlformats.org/officeDocument/2006/relationships/hyperlink" Target="http://www.psychologyboard.gov.au/Registration/National-psychology-exam.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- 19 December 2014</dc:title>
  <dc:subject>Communique</dc:subject>
  <dc:creator>Psychology Board</dc:creator>
  <cp:lastModifiedBy>Gareth Meade</cp:lastModifiedBy>
  <cp:revision>2</cp:revision>
  <dcterms:created xsi:type="dcterms:W3CDTF">2015-01-08T22:29:00Z</dcterms:created>
  <dcterms:modified xsi:type="dcterms:W3CDTF">2015-01-08T22:29:00Z</dcterms:modified>
</cp:coreProperties>
</file>