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97" w:rsidRPr="00D97E48" w:rsidRDefault="006D6B97" w:rsidP="006D6B97">
      <w:pPr>
        <w:pStyle w:val="Header"/>
        <w:jc w:val="right"/>
        <w:rPr>
          <w:rFonts w:cs="Arial"/>
        </w:rPr>
      </w:pPr>
      <w:bookmarkStart w:id="0" w:name="_GoBack"/>
      <w:r w:rsidRPr="00D97E48">
        <w:rPr>
          <w:rFonts w:cs="Arial"/>
          <w:noProof/>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-167640</wp:posOffset>
            </wp:positionV>
            <wp:extent cx="1285875" cy="135255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bookmarkEnd w:id="0"/>
    </w:p>
    <w:p w:rsidR="006D6B97" w:rsidRDefault="006D6B97" w:rsidP="006D6B97">
      <w:pPr>
        <w:pStyle w:val="AHPRATitle"/>
        <w:spacing w:after="120"/>
      </w:pPr>
    </w:p>
    <w:p w:rsidR="006D6B97" w:rsidRPr="00D97E48" w:rsidRDefault="006D6B97" w:rsidP="006D6B97"/>
    <w:p w:rsidR="006D6B97" w:rsidRPr="00D97E48" w:rsidRDefault="006D6B97" w:rsidP="006D6B97"/>
    <w:p w:rsidR="006D6B97" w:rsidRPr="00D97E48" w:rsidRDefault="006D6B97" w:rsidP="006D6B97">
      <w:pPr>
        <w:rPr>
          <w:rFonts w:ascii="Arial" w:hAnsi="Arial" w:cs="Arial"/>
          <w:lang w:val="en-US" w:eastAsia="en-US"/>
        </w:rPr>
      </w:pPr>
    </w:p>
    <w:p w:rsidR="006D6B97" w:rsidRPr="00015C2C" w:rsidRDefault="003C3262" w:rsidP="006D6B97">
      <w:pPr>
        <w:pStyle w:val="AHPRADocumenttitle"/>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3" o:spid="_x0000_s1026" type="#_x0000_t32" style="position:absolute;margin-left:-154.15pt;margin-top:36.4pt;width:253.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"/>
        </w:pict>
      </w:r>
      <w:r w:rsidR="006D6B97" w:rsidRPr="00015C2C">
        <w:rPr>
          <w:rFonts w:ascii="Arial" w:hAnsi="Arial"/>
        </w:rPr>
        <w:t>Communiqué</w:t>
      </w:r>
    </w:p>
    <w:p w:rsidR="006D6B97" w:rsidRPr="00D97E48" w:rsidRDefault="006D6B97" w:rsidP="006D6B97">
      <w:pPr>
        <w:rPr>
          <w:rFonts w:ascii="Arial" w:hAnsi="Arial" w:cs="Arial"/>
          <w:sz w:val="20"/>
          <w:szCs w:val="20"/>
        </w:rPr>
      </w:pPr>
    </w:p>
    <w:p w:rsidR="006D6B97" w:rsidRPr="00D97E48" w:rsidRDefault="006D6B97" w:rsidP="006D6B97">
      <w:pPr>
        <w:pStyle w:val="Default"/>
        <w:rPr>
          <w:rFonts w:ascii="Arial" w:hAnsi="Arial" w:cs="Arial"/>
          <w:b/>
          <w:bCs/>
          <w:sz w:val="20"/>
          <w:szCs w:val="20"/>
        </w:rPr>
      </w:pPr>
    </w:p>
    <w:p w:rsidR="006D6B97" w:rsidRPr="00D97E48" w:rsidRDefault="000A0B57" w:rsidP="006D6B97">
      <w:pPr>
        <w:pStyle w:val="Default"/>
        <w:rPr>
          <w:rFonts w:ascii="Arial" w:hAnsi="Arial" w:cs="Arial"/>
          <w:sz w:val="20"/>
          <w:szCs w:val="20"/>
        </w:rPr>
      </w:pPr>
      <w:r>
        <w:rPr>
          <w:rFonts w:ascii="Arial" w:hAnsi="Arial" w:cs="Arial"/>
          <w:b/>
          <w:sz w:val="20"/>
          <w:szCs w:val="20"/>
        </w:rPr>
        <w:t>30 October</w:t>
      </w:r>
      <w:r w:rsidR="006D6B97">
        <w:rPr>
          <w:rFonts w:ascii="Arial" w:hAnsi="Arial" w:cs="Arial"/>
          <w:b/>
          <w:sz w:val="20"/>
          <w:szCs w:val="20"/>
        </w:rPr>
        <w:t xml:space="preserve"> </w:t>
      </w:r>
      <w:r w:rsidR="006D6B97" w:rsidRPr="000D5792">
        <w:rPr>
          <w:rFonts w:ascii="Arial" w:hAnsi="Arial" w:cs="Arial"/>
          <w:b/>
          <w:bCs/>
          <w:sz w:val="20"/>
          <w:szCs w:val="20"/>
        </w:rPr>
        <w:t>2015</w:t>
      </w:r>
    </w:p>
    <w:p w:rsidR="006D6B97" w:rsidRPr="00D97E48" w:rsidRDefault="006D6B97" w:rsidP="006D6B97">
      <w:pPr>
        <w:autoSpaceDE w:val="0"/>
        <w:autoSpaceDN w:val="0"/>
        <w:adjustRightInd w:val="0"/>
        <w:rPr>
          <w:rFonts w:ascii="Arial" w:hAnsi="Arial" w:cs="Arial"/>
          <w:sz w:val="20"/>
          <w:szCs w:val="20"/>
        </w:rPr>
      </w:pPr>
    </w:p>
    <w:p w:rsidR="006D6B97" w:rsidRDefault="006D6B97" w:rsidP="006D6B97">
      <w:pPr>
        <w:autoSpaceDE w:val="0"/>
        <w:autoSpaceDN w:val="0"/>
        <w:adjustRightInd w:val="0"/>
        <w:spacing w:after="200"/>
        <w:rPr>
          <w:rFonts w:ascii="Arial" w:hAnsi="Arial" w:cs="Arial"/>
          <w:sz w:val="20"/>
          <w:szCs w:val="20"/>
        </w:rPr>
      </w:pPr>
      <w:r w:rsidRPr="00E974B7">
        <w:rPr>
          <w:rFonts w:ascii="Arial" w:hAnsi="Arial" w:cs="Arial"/>
          <w:sz w:val="20"/>
          <w:szCs w:val="20"/>
        </w:rPr>
        <w:t>The Psychology Board of Australia (the Board) is established under the Health Practitioner Regulation National Law, as in force in each state and territory (the National Law). At each meeting, the Board considers a wide range of issues, many of which are routine and are not included in this communiqué.</w:t>
      </w:r>
      <w:r>
        <w:rPr>
          <w:rFonts w:ascii="Arial" w:hAnsi="Arial" w:cs="Arial"/>
          <w:sz w:val="20"/>
          <w:szCs w:val="20"/>
        </w:rPr>
        <w:t xml:space="preserve"> </w:t>
      </w:r>
    </w:p>
    <w:p w:rsidR="006D6B97" w:rsidRDefault="006D6B97" w:rsidP="006D6B97">
      <w:pPr>
        <w:autoSpaceDE w:val="0"/>
        <w:autoSpaceDN w:val="0"/>
        <w:adjustRightInd w:val="0"/>
        <w:spacing w:after="200"/>
        <w:rPr>
          <w:rFonts w:ascii="Arial" w:hAnsi="Arial" w:cs="Arial"/>
          <w:sz w:val="20"/>
          <w:szCs w:val="20"/>
        </w:rPr>
      </w:pPr>
      <w:r w:rsidRPr="00E974B7">
        <w:rPr>
          <w:rFonts w:ascii="Arial" w:hAnsi="Arial" w:cs="Arial"/>
          <w:sz w:val="20"/>
          <w:szCs w:val="20"/>
        </w:rPr>
        <w:t xml:space="preserve">This communiqué highlights key issues from the </w:t>
      </w:r>
      <w:r>
        <w:rPr>
          <w:rFonts w:ascii="Arial" w:hAnsi="Arial" w:cs="Arial"/>
          <w:sz w:val="20"/>
          <w:szCs w:val="20"/>
        </w:rPr>
        <w:t>68</w:t>
      </w:r>
      <w:r w:rsidRPr="006D6B97">
        <w:rPr>
          <w:rFonts w:ascii="Arial" w:hAnsi="Arial" w:cs="Arial"/>
          <w:sz w:val="20"/>
          <w:szCs w:val="20"/>
          <w:vertAlign w:val="superscript"/>
        </w:rPr>
        <w:t>th</w:t>
      </w:r>
      <w:r>
        <w:rPr>
          <w:rFonts w:ascii="Arial" w:hAnsi="Arial" w:cs="Arial"/>
          <w:sz w:val="20"/>
          <w:szCs w:val="20"/>
        </w:rPr>
        <w:t xml:space="preserve"> </w:t>
      </w:r>
      <w:r w:rsidRPr="00E974B7">
        <w:rPr>
          <w:rFonts w:ascii="Arial" w:hAnsi="Arial" w:cs="Arial"/>
          <w:sz w:val="20"/>
          <w:szCs w:val="20"/>
        </w:rPr>
        <w:t xml:space="preserve">meeting of the Board on </w:t>
      </w:r>
      <w:r>
        <w:rPr>
          <w:rFonts w:ascii="Arial" w:hAnsi="Arial" w:cs="Arial"/>
          <w:sz w:val="20"/>
          <w:szCs w:val="20"/>
        </w:rPr>
        <w:t xml:space="preserve">30 October </w:t>
      </w:r>
      <w:r w:rsidRPr="00E974B7">
        <w:rPr>
          <w:rFonts w:ascii="Arial" w:hAnsi="Arial" w:cs="Arial"/>
          <w:sz w:val="20"/>
          <w:szCs w:val="20"/>
        </w:rPr>
        <w:t>2015.</w:t>
      </w:r>
      <w:r>
        <w:rPr>
          <w:rFonts w:ascii="Arial" w:hAnsi="Arial" w:cs="Arial"/>
          <w:sz w:val="20"/>
          <w:szCs w:val="20"/>
        </w:rPr>
        <w:t xml:space="preserve"> </w:t>
      </w:r>
    </w:p>
    <w:p w:rsidR="006D6B97" w:rsidRDefault="00DB3365" w:rsidP="006D6B97">
      <w:pPr>
        <w:pStyle w:val="AHPRASubhead"/>
      </w:pPr>
      <w:r w:rsidRPr="00DB3365">
        <w:t xml:space="preserve">Revised CPD standard for psychologists </w:t>
      </w:r>
      <w:r>
        <w:t>will come into effect on 1 December 2015</w:t>
      </w:r>
    </w:p>
    <w:p w:rsidR="00DB3365" w:rsidRPr="00DB3365" w:rsidRDefault="00DB3365" w:rsidP="00DB3365">
      <w:pPr>
        <w:rPr>
          <w:rFonts w:ascii="Arial" w:hAnsi="Arial" w:cs="Arial"/>
          <w:sz w:val="20"/>
          <w:szCs w:val="20"/>
        </w:rPr>
      </w:pPr>
      <w:r w:rsidRPr="00DB3365">
        <w:rPr>
          <w:rFonts w:ascii="Arial" w:hAnsi="Arial" w:cs="Arial"/>
          <w:sz w:val="20"/>
          <w:szCs w:val="20"/>
        </w:rPr>
        <w:t>The Board</w:t>
      </w:r>
      <w:r>
        <w:rPr>
          <w:rFonts w:ascii="Arial" w:hAnsi="Arial" w:cs="Arial"/>
          <w:sz w:val="20"/>
          <w:szCs w:val="20"/>
        </w:rPr>
        <w:t xml:space="preserve"> has</w:t>
      </w:r>
      <w:r w:rsidRPr="00DB3365">
        <w:rPr>
          <w:rFonts w:ascii="Arial" w:hAnsi="Arial" w:cs="Arial"/>
          <w:sz w:val="20"/>
          <w:szCs w:val="20"/>
        </w:rPr>
        <w:t xml:space="preserve"> published the revised continuing professional development (CPD) standard, which will come into effect on 1 December 2015.</w:t>
      </w:r>
    </w:p>
    <w:p w:rsidR="00DB3365" w:rsidRDefault="00DB3365" w:rsidP="00DB3365">
      <w:pPr>
        <w:rPr>
          <w:rFonts w:ascii="Arial" w:hAnsi="Arial" w:cs="Arial"/>
          <w:sz w:val="20"/>
          <w:szCs w:val="20"/>
        </w:rPr>
      </w:pPr>
    </w:p>
    <w:p w:rsidR="006D6B97" w:rsidRPr="00DB3365" w:rsidRDefault="00DB3365" w:rsidP="00DB3365">
      <w:pPr>
        <w:rPr>
          <w:rFonts w:ascii="Arial" w:hAnsi="Arial" w:cs="Arial"/>
          <w:sz w:val="20"/>
          <w:szCs w:val="20"/>
        </w:rPr>
      </w:pPr>
      <w:r w:rsidRPr="00DB3365">
        <w:rPr>
          <w:rFonts w:ascii="Arial" w:hAnsi="Arial" w:cs="Arial"/>
          <w:sz w:val="20"/>
          <w:szCs w:val="20"/>
        </w:rPr>
        <w:t>The revised CPD standard will replace the current standard and will apply to all 26,843 registered general psychologists in Australia. Practitioners will need to meet the obligations of the revised standard in the next registration renewal period from 1 December 2015 to 30 November 2016.</w:t>
      </w:r>
    </w:p>
    <w:p w:rsidR="00DB3365" w:rsidRDefault="00DB3365" w:rsidP="00DB3365">
      <w:pPr>
        <w:rPr>
          <w:rFonts w:ascii="Arial" w:hAnsi="Arial" w:cs="Arial"/>
          <w:sz w:val="20"/>
          <w:szCs w:val="20"/>
        </w:rPr>
      </w:pPr>
    </w:p>
    <w:p w:rsidR="00DB3365" w:rsidRDefault="00DB3365" w:rsidP="00DB3365">
      <w:pPr>
        <w:rPr>
          <w:rFonts w:ascii="Arial" w:hAnsi="Arial" w:cs="Arial"/>
          <w:sz w:val="20"/>
          <w:szCs w:val="20"/>
        </w:rPr>
      </w:pPr>
      <w:r w:rsidRPr="00DB3365">
        <w:rPr>
          <w:rFonts w:ascii="Arial" w:hAnsi="Arial" w:cs="Arial"/>
          <w:sz w:val="20"/>
          <w:szCs w:val="20"/>
        </w:rPr>
        <w:t xml:space="preserve">The revised standard was approved by the Australian Health Workforce Ministerial Council on 27 August 2015 and was part of a scheduled review of standards. A public consultation was held as part </w:t>
      </w:r>
      <w:r>
        <w:rPr>
          <w:rFonts w:ascii="Arial" w:hAnsi="Arial" w:cs="Arial"/>
          <w:sz w:val="20"/>
          <w:szCs w:val="20"/>
        </w:rPr>
        <w:t xml:space="preserve">of the review. National Boards </w:t>
      </w:r>
      <w:r w:rsidRPr="00DB3365">
        <w:rPr>
          <w:rFonts w:ascii="Arial" w:hAnsi="Arial" w:cs="Arial"/>
          <w:sz w:val="20"/>
          <w:szCs w:val="20"/>
        </w:rPr>
        <w:t xml:space="preserve">published consultation reports providing a summary of the consultation processes, rationale for any changes and proposed way forward, including areas where further work is planned. The submissions to the public consultation are published on the </w:t>
      </w:r>
      <w:hyperlink r:id="rId8" w:history="1">
        <w:r w:rsidRPr="00DB3365">
          <w:rPr>
            <w:rStyle w:val="Hyperlink"/>
            <w:rFonts w:ascii="Arial" w:hAnsi="Arial" w:cs="Arial"/>
            <w:sz w:val="20"/>
            <w:szCs w:val="20"/>
          </w:rPr>
          <w:t>past consultations page</w:t>
        </w:r>
      </w:hyperlink>
      <w:r w:rsidR="00A437F8">
        <w:t xml:space="preserve"> </w:t>
      </w:r>
      <w:r w:rsidR="00A44423" w:rsidRPr="00A44423">
        <w:rPr>
          <w:rFonts w:ascii="Arial" w:hAnsi="Arial" w:cs="Arial"/>
          <w:sz w:val="20"/>
          <w:szCs w:val="20"/>
        </w:rPr>
        <w:t>of the Board’s website</w:t>
      </w:r>
      <w:r w:rsidRPr="00A437F8">
        <w:rPr>
          <w:rFonts w:ascii="Arial" w:hAnsi="Arial" w:cs="Arial"/>
          <w:sz w:val="20"/>
          <w:szCs w:val="20"/>
        </w:rPr>
        <w:t>.</w:t>
      </w:r>
      <w:r w:rsidRPr="00DB3365">
        <w:rPr>
          <w:rFonts w:ascii="Arial" w:hAnsi="Arial" w:cs="Arial"/>
          <w:sz w:val="20"/>
          <w:szCs w:val="20"/>
        </w:rPr>
        <w:t xml:space="preserve"> </w:t>
      </w:r>
    </w:p>
    <w:p w:rsidR="00DB3365" w:rsidRPr="00DB3365" w:rsidRDefault="00DB3365" w:rsidP="00DB3365">
      <w:pPr>
        <w:rPr>
          <w:rFonts w:ascii="Arial" w:hAnsi="Arial" w:cs="Arial"/>
          <w:sz w:val="20"/>
          <w:szCs w:val="20"/>
        </w:rPr>
      </w:pPr>
    </w:p>
    <w:p w:rsidR="00DB3365" w:rsidRDefault="00DB3365" w:rsidP="00DB3365">
      <w:pPr>
        <w:rPr>
          <w:rFonts w:ascii="Arial" w:hAnsi="Arial" w:cs="Arial"/>
          <w:sz w:val="20"/>
          <w:szCs w:val="20"/>
        </w:rPr>
      </w:pPr>
      <w:r w:rsidRPr="00DB3365">
        <w:rPr>
          <w:rFonts w:ascii="Arial" w:hAnsi="Arial" w:cs="Arial"/>
          <w:sz w:val="20"/>
          <w:szCs w:val="20"/>
        </w:rPr>
        <w:t xml:space="preserve">The revised CPD standard will introduce fairer provisions for pro-rata CPD requirements and CPD exemptions. It will also introduce a new requirement to maintain the CPD portfolio for five years in case of audit. The revised standard also clarifies the current requirements and improves the wording and structure of the document to make it easier to understand. </w:t>
      </w:r>
    </w:p>
    <w:p w:rsidR="00DB3365" w:rsidRPr="00DB3365" w:rsidRDefault="00DB3365" w:rsidP="00DB3365">
      <w:pPr>
        <w:rPr>
          <w:rFonts w:ascii="Arial" w:hAnsi="Arial" w:cs="Arial"/>
          <w:sz w:val="20"/>
          <w:szCs w:val="20"/>
        </w:rPr>
      </w:pPr>
    </w:p>
    <w:p w:rsidR="00DB3365" w:rsidRDefault="00DB3365" w:rsidP="00DB3365">
      <w:pPr>
        <w:rPr>
          <w:rFonts w:ascii="Arial" w:hAnsi="Arial" w:cs="Arial"/>
          <w:sz w:val="20"/>
          <w:szCs w:val="20"/>
        </w:rPr>
      </w:pPr>
      <w:r w:rsidRPr="00DB3365">
        <w:rPr>
          <w:rFonts w:ascii="Arial" w:hAnsi="Arial" w:cs="Arial"/>
          <w:sz w:val="20"/>
          <w:szCs w:val="20"/>
        </w:rPr>
        <w:t xml:space="preserve">There are no major changes to the CPD requirements and most psychologists will find that the changes do not have </w:t>
      </w:r>
      <w:r w:rsidR="001075FC">
        <w:rPr>
          <w:rFonts w:ascii="Arial" w:hAnsi="Arial" w:cs="Arial"/>
          <w:sz w:val="20"/>
          <w:szCs w:val="20"/>
        </w:rPr>
        <w:t xml:space="preserve">a </w:t>
      </w:r>
      <w:r w:rsidRPr="00DB3365">
        <w:rPr>
          <w:rFonts w:ascii="Arial" w:hAnsi="Arial" w:cs="Arial"/>
          <w:sz w:val="20"/>
          <w:szCs w:val="20"/>
        </w:rPr>
        <w:t xml:space="preserve">significant effect on how they plan, complete and record their CPD. </w:t>
      </w:r>
    </w:p>
    <w:p w:rsidR="00DB3365" w:rsidRPr="00DB3365" w:rsidRDefault="00DB3365" w:rsidP="00DB3365">
      <w:pPr>
        <w:rPr>
          <w:rFonts w:ascii="Arial" w:hAnsi="Arial" w:cs="Arial"/>
          <w:sz w:val="20"/>
          <w:szCs w:val="20"/>
        </w:rPr>
      </w:pPr>
    </w:p>
    <w:p w:rsidR="00DB3365" w:rsidRPr="00DB3365" w:rsidRDefault="00DB3365" w:rsidP="00DB3365">
      <w:pPr>
        <w:rPr>
          <w:rFonts w:ascii="Arial" w:hAnsi="Arial" w:cs="Arial"/>
          <w:sz w:val="20"/>
          <w:szCs w:val="20"/>
        </w:rPr>
      </w:pPr>
      <w:r w:rsidRPr="00DB3365">
        <w:rPr>
          <w:rFonts w:ascii="Arial" w:hAnsi="Arial" w:cs="Arial"/>
          <w:sz w:val="20"/>
          <w:szCs w:val="20"/>
        </w:rPr>
        <w:t>In February 2016, the Board will be publishing a revised recency of practice registration standard. The revised standard will take effect on 1 December 2016 to allow psychologists time to become familiar with the requirements.</w:t>
      </w:r>
    </w:p>
    <w:p w:rsidR="00DB3365" w:rsidRPr="00DB3365" w:rsidRDefault="00DB3365" w:rsidP="00DB3365">
      <w:pPr>
        <w:rPr>
          <w:rFonts w:ascii="Arial" w:hAnsi="Arial" w:cs="Arial"/>
          <w:sz w:val="20"/>
          <w:szCs w:val="20"/>
        </w:rPr>
      </w:pPr>
    </w:p>
    <w:p w:rsidR="000A0B57" w:rsidRPr="000A0B57" w:rsidRDefault="000A0B57" w:rsidP="000A0B57">
      <w:pPr>
        <w:pStyle w:val="AHPRASubhead"/>
      </w:pPr>
      <w:r w:rsidRPr="000A0B57">
        <w:t>2014/15 National Scheme annual report</w:t>
      </w:r>
    </w:p>
    <w:p w:rsidR="000A0B57" w:rsidRPr="000A0B57" w:rsidRDefault="000A0B57" w:rsidP="000A0B57">
      <w:pPr>
        <w:spacing w:before="100" w:beforeAutospacing="1"/>
        <w:ind w:right="272"/>
        <w:rPr>
          <w:rFonts w:ascii="Arial" w:hAnsi="Arial" w:cs="Arial"/>
          <w:sz w:val="20"/>
          <w:szCs w:val="20"/>
        </w:rPr>
      </w:pPr>
      <w:r w:rsidRPr="000A0B57">
        <w:rPr>
          <w:rFonts w:ascii="Arial" w:hAnsi="Arial" w:cs="Arial"/>
          <w:sz w:val="20"/>
          <w:szCs w:val="20"/>
        </w:rPr>
        <w:t>AHPRA and the National Boards have released their 2014/15 annual report on the National Registration and Accreditation Scheme (the National Scheme), providing a comprehensive record of the operations of the National Scheme for the 12 months ending 30 June 2015.</w:t>
      </w:r>
    </w:p>
    <w:p w:rsidR="000A0B57" w:rsidRPr="000A0B57" w:rsidRDefault="000A0B57" w:rsidP="000A0B57">
      <w:pPr>
        <w:spacing w:before="100" w:beforeAutospacing="1"/>
        <w:ind w:right="272"/>
        <w:rPr>
          <w:rFonts w:ascii="Arial" w:hAnsi="Arial" w:cs="Arial"/>
          <w:sz w:val="20"/>
          <w:szCs w:val="20"/>
        </w:rPr>
      </w:pPr>
      <w:r w:rsidRPr="000A0B57">
        <w:rPr>
          <w:rFonts w:ascii="Arial" w:hAnsi="Arial" w:cs="Arial"/>
          <w:sz w:val="20"/>
          <w:szCs w:val="20"/>
        </w:rPr>
        <w:t>The annual report provides a national snapshot of the work and finances of the National Scheme and is tabled in the parliaments of each state and territory and the Commonwealth.</w:t>
      </w:r>
    </w:p>
    <w:p w:rsidR="000A0B57" w:rsidRDefault="000A0B57" w:rsidP="000A0B57">
      <w:pPr>
        <w:spacing w:before="270" w:after="270" w:line="270" w:lineRule="atLeast"/>
        <w:ind w:right="270"/>
        <w:rPr>
          <w:rFonts w:ascii="Arial" w:hAnsi="Arial" w:cs="Arial"/>
          <w:color w:val="000000"/>
          <w:sz w:val="20"/>
          <w:szCs w:val="20"/>
        </w:rPr>
      </w:pPr>
      <w:r>
        <w:rPr>
          <w:rFonts w:ascii="Arial" w:hAnsi="Arial" w:cs="Arial"/>
          <w:color w:val="000000"/>
          <w:sz w:val="20"/>
          <w:szCs w:val="20"/>
        </w:rPr>
        <w:t xml:space="preserve">For the psychology profession, the report reveals that: </w:t>
      </w:r>
    </w:p>
    <w:p w:rsidR="000A0B57" w:rsidRDefault="000A0B57" w:rsidP="000A0B57">
      <w:pPr>
        <w:pStyle w:val="ListParagraph"/>
        <w:numPr>
          <w:ilvl w:val="0"/>
          <w:numId w:val="32"/>
        </w:numPr>
        <w:spacing w:before="100" w:beforeAutospacing="1" w:after="100" w:afterAutospacing="1" w:line="270" w:lineRule="atLeast"/>
        <w:rPr>
          <w:rFonts w:ascii="Arial" w:hAnsi="Arial" w:cs="Arial"/>
          <w:sz w:val="20"/>
          <w:szCs w:val="20"/>
        </w:rPr>
      </w:pPr>
      <w:r>
        <w:rPr>
          <w:rFonts w:ascii="Arial" w:hAnsi="Arial" w:cs="Arial"/>
          <w:sz w:val="20"/>
          <w:szCs w:val="20"/>
        </w:rPr>
        <w:t xml:space="preserve">32,766 practitioners were registered at the end of June 2015, an increase of 3.3 per cent from the previous year </w:t>
      </w:r>
    </w:p>
    <w:p w:rsidR="000A0B57" w:rsidRDefault="000A0B57" w:rsidP="000A0B57">
      <w:pPr>
        <w:pStyle w:val="ListParagraph"/>
        <w:numPr>
          <w:ilvl w:val="0"/>
          <w:numId w:val="32"/>
        </w:numPr>
        <w:spacing w:before="270" w:after="270" w:line="270" w:lineRule="atLeast"/>
        <w:ind w:right="270"/>
        <w:rPr>
          <w:rFonts w:ascii="Arial" w:eastAsia="Cambria" w:hAnsi="Arial" w:cs="Arial"/>
          <w:sz w:val="20"/>
          <w:szCs w:val="20"/>
          <w:lang w:eastAsia="en-US"/>
        </w:rPr>
      </w:pPr>
      <w:r>
        <w:rPr>
          <w:rFonts w:ascii="Arial" w:hAnsi="Arial" w:cs="Arial"/>
          <w:sz w:val="20"/>
          <w:szCs w:val="20"/>
        </w:rPr>
        <w:lastRenderedPageBreak/>
        <w:t>276 notifications (concerns/complaints) were received about psychologists (excluding NSW where there is a co-regulatory system)</w:t>
      </w:r>
      <w:r>
        <w:rPr>
          <w:rFonts w:ascii="Arial" w:hAnsi="Arial" w:cs="Arial"/>
          <w:sz w:val="20"/>
          <w:szCs w:val="20"/>
          <w:vertAlign w:val="superscript"/>
        </w:rPr>
        <w:t>1</w:t>
      </w:r>
    </w:p>
    <w:p w:rsidR="000A0B57" w:rsidRDefault="000A0B57" w:rsidP="000A0B57">
      <w:pPr>
        <w:pStyle w:val="ListParagraph"/>
        <w:numPr>
          <w:ilvl w:val="0"/>
          <w:numId w:val="32"/>
        </w:numPr>
        <w:spacing w:before="270" w:after="270" w:line="270" w:lineRule="atLeast"/>
        <w:ind w:right="270"/>
        <w:rPr>
          <w:rFonts w:ascii="Arial" w:hAnsi="Arial" w:cs="Arial"/>
          <w:sz w:val="20"/>
          <w:szCs w:val="20"/>
        </w:rPr>
      </w:pPr>
      <w:r>
        <w:rPr>
          <w:rFonts w:ascii="Arial" w:hAnsi="Arial" w:cs="Arial"/>
          <w:sz w:val="20"/>
          <w:szCs w:val="20"/>
        </w:rPr>
        <w:t>313 notifications about psychologists were closed by 30 June 2015</w:t>
      </w:r>
    </w:p>
    <w:p w:rsidR="000A0B57" w:rsidRDefault="000A0B57" w:rsidP="000A0B57">
      <w:pPr>
        <w:pStyle w:val="ListParagraph"/>
        <w:numPr>
          <w:ilvl w:val="0"/>
          <w:numId w:val="32"/>
        </w:numPr>
        <w:spacing w:before="270" w:after="270" w:line="270" w:lineRule="atLeast"/>
        <w:ind w:right="270"/>
        <w:rPr>
          <w:rFonts w:ascii="Arial" w:hAnsi="Arial" w:cs="Arial"/>
          <w:sz w:val="20"/>
          <w:szCs w:val="20"/>
        </w:rPr>
      </w:pPr>
      <w:r>
        <w:rPr>
          <w:rFonts w:ascii="Arial" w:hAnsi="Arial" w:cs="Arial"/>
          <w:sz w:val="20"/>
          <w:szCs w:val="20"/>
        </w:rPr>
        <w:t xml:space="preserve">of the 313 cases closed under the National Scheme, the Psychology Board of Australia determined:  </w:t>
      </w:r>
    </w:p>
    <w:p w:rsidR="00621A53" w:rsidRDefault="000A0B57">
      <w:pPr>
        <w:pStyle w:val="ListParagraph"/>
        <w:numPr>
          <w:ilvl w:val="1"/>
          <w:numId w:val="35"/>
        </w:numPr>
        <w:spacing w:before="270" w:after="270" w:line="270" w:lineRule="atLeast"/>
        <w:ind w:right="270"/>
        <w:rPr>
          <w:rFonts w:ascii="Arial" w:hAnsi="Arial" w:cs="Arial"/>
          <w:sz w:val="20"/>
          <w:szCs w:val="20"/>
        </w:rPr>
      </w:pPr>
      <w:r>
        <w:rPr>
          <w:rFonts w:ascii="Arial" w:hAnsi="Arial" w:cs="Arial"/>
          <w:sz w:val="20"/>
          <w:szCs w:val="20"/>
        </w:rPr>
        <w:t>to take no further action or that the case was to be handled by the relevant health complaints entity in the relevant state or territory in 207 cases</w:t>
      </w:r>
    </w:p>
    <w:p w:rsidR="00621A53" w:rsidRDefault="000A0B57">
      <w:pPr>
        <w:pStyle w:val="ListParagraph"/>
        <w:numPr>
          <w:ilvl w:val="1"/>
          <w:numId w:val="35"/>
        </w:numPr>
        <w:spacing w:before="270" w:after="270" w:line="270" w:lineRule="atLeast"/>
        <w:ind w:right="270"/>
        <w:rPr>
          <w:rFonts w:ascii="Arial" w:hAnsi="Arial" w:cs="Arial"/>
          <w:sz w:val="20"/>
          <w:szCs w:val="20"/>
        </w:rPr>
      </w:pPr>
      <w:r>
        <w:rPr>
          <w:rFonts w:ascii="Arial" w:hAnsi="Arial" w:cs="Arial"/>
          <w:sz w:val="20"/>
          <w:szCs w:val="20"/>
        </w:rPr>
        <w:t xml:space="preserve">that conditions be imposed on a practitioner’s registration in 40 cases </w:t>
      </w:r>
    </w:p>
    <w:p w:rsidR="00621A53" w:rsidRDefault="000A0B57">
      <w:pPr>
        <w:pStyle w:val="ListParagraph"/>
        <w:numPr>
          <w:ilvl w:val="1"/>
          <w:numId w:val="35"/>
        </w:numPr>
        <w:spacing w:before="270" w:after="270" w:line="270" w:lineRule="atLeast"/>
        <w:ind w:right="270"/>
        <w:rPr>
          <w:rFonts w:ascii="Arial" w:hAnsi="Arial" w:cs="Arial"/>
          <w:sz w:val="20"/>
          <w:szCs w:val="20"/>
        </w:rPr>
      </w:pPr>
      <w:r>
        <w:rPr>
          <w:rFonts w:ascii="Arial" w:hAnsi="Arial" w:cs="Arial"/>
          <w:sz w:val="20"/>
          <w:szCs w:val="20"/>
        </w:rPr>
        <w:t>in 40 cases cautions would be issued, and</w:t>
      </w:r>
    </w:p>
    <w:p w:rsidR="00621A53" w:rsidRDefault="000A0B57">
      <w:pPr>
        <w:pStyle w:val="ListParagraph"/>
        <w:numPr>
          <w:ilvl w:val="1"/>
          <w:numId w:val="35"/>
        </w:numPr>
        <w:spacing w:before="270" w:after="270" w:line="270" w:lineRule="atLeast"/>
        <w:ind w:right="270"/>
        <w:rPr>
          <w:rFonts w:ascii="Arial" w:hAnsi="Arial" w:cs="Arial"/>
          <w:sz w:val="20"/>
          <w:szCs w:val="20"/>
        </w:rPr>
      </w:pPr>
      <w:r>
        <w:rPr>
          <w:rFonts w:ascii="Arial" w:hAnsi="Arial" w:cs="Arial"/>
          <w:sz w:val="20"/>
          <w:szCs w:val="20"/>
        </w:rPr>
        <w:t>11 cases resulted in cancellation or suspension of a practitioner’s registration.</w:t>
      </w:r>
    </w:p>
    <w:p w:rsidR="000A0B57" w:rsidRPr="000A0B57" w:rsidRDefault="000A0B57" w:rsidP="000A0B57">
      <w:pPr>
        <w:spacing w:before="270" w:after="270" w:line="270" w:lineRule="atLeast"/>
        <w:ind w:right="270"/>
        <w:rPr>
          <w:rFonts w:ascii="Arial" w:hAnsi="Arial" w:cs="Arial"/>
          <w:color w:val="000000"/>
          <w:sz w:val="20"/>
          <w:szCs w:val="20"/>
        </w:rPr>
      </w:pPr>
      <w:r>
        <w:rPr>
          <w:rFonts w:ascii="Arial" w:hAnsi="Arial" w:cs="Arial"/>
          <w:color w:val="000000"/>
          <w:sz w:val="20"/>
          <w:szCs w:val="20"/>
        </w:rPr>
        <w:t xml:space="preserve">The annual report is published at </w:t>
      </w:r>
      <w:hyperlink r:id="rId9" w:history="1">
        <w:r>
          <w:rPr>
            <w:rStyle w:val="Hyperlink"/>
            <w:rFonts w:ascii="Arial" w:hAnsi="Arial" w:cs="Arial"/>
            <w:sz w:val="20"/>
            <w:szCs w:val="20"/>
          </w:rPr>
          <w:t>www.ahpra.gov.au/annualreport/2015</w:t>
        </w:r>
      </w:hyperlink>
      <w:r>
        <w:rPr>
          <w:rFonts w:ascii="Arial" w:hAnsi="Arial" w:cs="Arial"/>
          <w:color w:val="000000"/>
          <w:sz w:val="20"/>
          <w:szCs w:val="20"/>
        </w:rPr>
        <w:t xml:space="preserve">. It includes a detailed report – </w:t>
      </w:r>
      <w:r>
        <w:rPr>
          <w:rFonts w:ascii="Arial" w:hAnsi="Arial" w:cs="Arial"/>
          <w:color w:val="000000" w:themeColor="text1"/>
          <w:sz w:val="20"/>
          <w:szCs w:val="20"/>
        </w:rPr>
        <w:t>including data – for the Psychology Board of Australia</w:t>
      </w:r>
      <w:r>
        <w:rPr>
          <w:rFonts w:ascii="Arial" w:hAnsi="Arial" w:cs="Arial"/>
          <w:sz w:val="20"/>
          <w:szCs w:val="20"/>
        </w:rPr>
        <w:t>.</w:t>
      </w:r>
      <w:r>
        <w:rPr>
          <w:rFonts w:ascii="Arial" w:hAnsi="Arial" w:cs="Arial"/>
          <w:color w:val="000000"/>
          <w:sz w:val="20"/>
          <w:szCs w:val="20"/>
        </w:rPr>
        <w:t xml:space="preserve"> A media release about the report – with data across professions and jurisdictions – is published on the </w:t>
      </w:r>
      <w:hyperlink r:id="rId10" w:history="1">
        <w:r>
          <w:rPr>
            <w:rStyle w:val="Hyperlink"/>
            <w:rFonts w:ascii="Arial" w:hAnsi="Arial" w:cs="Arial"/>
            <w:sz w:val="20"/>
            <w:szCs w:val="20"/>
          </w:rPr>
          <w:t>AHPRA website</w:t>
        </w:r>
      </w:hyperlink>
      <w:r>
        <w:rPr>
          <w:rFonts w:ascii="Arial" w:hAnsi="Arial" w:cs="Arial"/>
          <w:color w:val="444444"/>
          <w:sz w:val="20"/>
          <w:szCs w:val="20"/>
        </w:rPr>
        <w:t xml:space="preserve">. </w:t>
      </w:r>
      <w:r>
        <w:rPr>
          <w:rFonts w:ascii="Arial" w:hAnsi="Arial" w:cs="Arial"/>
          <w:sz w:val="20"/>
          <w:szCs w:val="20"/>
        </w:rPr>
        <w:t xml:space="preserve">A report, which presents the data specific to psychology practice, will be published on the Board’s website before the end of the calendar year. </w:t>
      </w:r>
    </w:p>
    <w:p w:rsidR="00DB3365" w:rsidRPr="003652AC" w:rsidRDefault="00DB3365" w:rsidP="003652AC">
      <w:pPr>
        <w:pStyle w:val="AHPRASubhead"/>
      </w:pPr>
      <w:r w:rsidRPr="00DB3365">
        <w:t>Call for applications for appointment to the NT / SA / WA Regional Board of the Psychology Board of Australia</w:t>
      </w:r>
    </w:p>
    <w:p w:rsidR="000A0B57" w:rsidRDefault="00DB3365" w:rsidP="00DB3365">
      <w:pPr>
        <w:rPr>
          <w:rFonts w:ascii="Arial" w:hAnsi="Arial" w:cs="Arial"/>
          <w:sz w:val="20"/>
          <w:szCs w:val="20"/>
        </w:rPr>
      </w:pPr>
      <w:r w:rsidRPr="00DB3365">
        <w:rPr>
          <w:rFonts w:ascii="Arial" w:hAnsi="Arial" w:cs="Arial"/>
          <w:sz w:val="20"/>
          <w:szCs w:val="20"/>
        </w:rPr>
        <w:t xml:space="preserve">Applications are sought from psychologists who reside and practice in the Northern Territory to fill vacancies on the NT / SA / WA Regional Board of the Psychology Board of Australia. </w:t>
      </w:r>
    </w:p>
    <w:p w:rsidR="000A0B57" w:rsidRDefault="000A0B57" w:rsidP="00DB3365">
      <w:pPr>
        <w:rPr>
          <w:rFonts w:ascii="Arial" w:hAnsi="Arial" w:cs="Arial"/>
          <w:sz w:val="20"/>
          <w:szCs w:val="20"/>
        </w:rPr>
      </w:pPr>
    </w:p>
    <w:p w:rsidR="000A0B57" w:rsidRDefault="00DB3365" w:rsidP="00DB3365">
      <w:pPr>
        <w:rPr>
          <w:rFonts w:ascii="Arial" w:hAnsi="Arial" w:cs="Arial"/>
          <w:sz w:val="20"/>
          <w:szCs w:val="20"/>
        </w:rPr>
      </w:pPr>
      <w:r w:rsidRPr="00DB3365">
        <w:rPr>
          <w:rFonts w:ascii="Arial" w:hAnsi="Arial" w:cs="Arial"/>
          <w:sz w:val="20"/>
          <w:szCs w:val="20"/>
        </w:rPr>
        <w:t xml:space="preserve">State, territory and regional boards exercise their functions in the jurisdiction to provide an effective and timely local response to health practitioners and other persons. </w:t>
      </w:r>
      <w:r>
        <w:rPr>
          <w:rFonts w:ascii="Arial" w:hAnsi="Arial" w:cs="Arial"/>
          <w:sz w:val="20"/>
          <w:szCs w:val="20"/>
        </w:rPr>
        <w:t xml:space="preserve"> </w:t>
      </w:r>
    </w:p>
    <w:p w:rsidR="000A0B57" w:rsidRDefault="000A0B57" w:rsidP="00DB3365">
      <w:pPr>
        <w:rPr>
          <w:rFonts w:ascii="Arial" w:hAnsi="Arial" w:cs="Arial"/>
          <w:sz w:val="20"/>
          <w:szCs w:val="20"/>
        </w:rPr>
      </w:pPr>
    </w:p>
    <w:p w:rsidR="00DB3365" w:rsidRPr="00DB3365" w:rsidRDefault="00DB3365" w:rsidP="00DB3365">
      <w:pPr>
        <w:rPr>
          <w:rFonts w:ascii="Arial" w:hAnsi="Arial" w:cs="Arial"/>
          <w:sz w:val="20"/>
          <w:szCs w:val="20"/>
        </w:rPr>
      </w:pPr>
      <w:r w:rsidRPr="00DB3365">
        <w:rPr>
          <w:rFonts w:ascii="Arial" w:hAnsi="Arial" w:cs="Arial"/>
          <w:sz w:val="20"/>
          <w:szCs w:val="20"/>
        </w:rPr>
        <w:t xml:space="preserve">More information about the role and the application process is </w:t>
      </w:r>
      <w:r>
        <w:rPr>
          <w:rFonts w:ascii="Arial" w:hAnsi="Arial" w:cs="Arial"/>
          <w:sz w:val="20"/>
          <w:szCs w:val="20"/>
        </w:rPr>
        <w:t xml:space="preserve">provided on the Board’s </w:t>
      </w:r>
      <w:hyperlink r:id="rId11" w:history="1">
        <w:r w:rsidRPr="003652AC">
          <w:rPr>
            <w:rStyle w:val="Hyperlink"/>
            <w:rFonts w:ascii="Arial" w:hAnsi="Arial" w:cs="Arial"/>
            <w:sz w:val="20"/>
            <w:szCs w:val="20"/>
          </w:rPr>
          <w:t>website</w:t>
        </w:r>
        <w:r w:rsidR="003652AC" w:rsidRPr="003652AC">
          <w:rPr>
            <w:rStyle w:val="Hyperlink"/>
            <w:rFonts w:ascii="Arial" w:hAnsi="Arial" w:cs="Arial"/>
            <w:sz w:val="20"/>
            <w:szCs w:val="20"/>
          </w:rPr>
          <w:t>.</w:t>
        </w:r>
      </w:hyperlink>
      <w:r w:rsidR="003652AC">
        <w:rPr>
          <w:rFonts w:ascii="Arial" w:hAnsi="Arial" w:cs="Arial"/>
          <w:sz w:val="20"/>
          <w:szCs w:val="20"/>
        </w:rPr>
        <w:t xml:space="preserve"> </w:t>
      </w:r>
    </w:p>
    <w:p w:rsidR="00DB3365" w:rsidRDefault="00DB3365" w:rsidP="00DB3365">
      <w:pPr>
        <w:rPr>
          <w:rFonts w:ascii="Arial" w:hAnsi="Arial" w:cs="Arial"/>
          <w:sz w:val="20"/>
          <w:szCs w:val="20"/>
        </w:rPr>
      </w:pPr>
    </w:p>
    <w:p w:rsidR="00DB3365" w:rsidRPr="00DB3365" w:rsidRDefault="00DB3365" w:rsidP="00C44332">
      <w:pPr>
        <w:spacing w:after="200"/>
        <w:rPr>
          <w:rFonts w:ascii="Arial" w:hAnsi="Arial" w:cs="Arial"/>
          <w:sz w:val="20"/>
          <w:szCs w:val="20"/>
        </w:rPr>
      </w:pPr>
      <w:r w:rsidRPr="00DB3365">
        <w:rPr>
          <w:rFonts w:ascii="Arial" w:hAnsi="Arial" w:cs="Arial"/>
          <w:sz w:val="20"/>
          <w:szCs w:val="20"/>
        </w:rPr>
        <w:t xml:space="preserve">For enquiries, email </w:t>
      </w:r>
      <w:hyperlink r:id="rId12" w:history="1">
        <w:r w:rsidRPr="00DB3365">
          <w:rPr>
            <w:rStyle w:val="Hyperlink"/>
            <w:rFonts w:ascii="Arial" w:hAnsi="Arial" w:cs="Arial"/>
            <w:sz w:val="20"/>
            <w:szCs w:val="20"/>
          </w:rPr>
          <w:t>statutoryappointments@ahpra.gov.au</w:t>
        </w:r>
      </w:hyperlink>
      <w:r w:rsidRPr="00DB3365">
        <w:rPr>
          <w:rFonts w:ascii="Arial" w:hAnsi="Arial" w:cs="Arial"/>
          <w:sz w:val="20"/>
          <w:szCs w:val="20"/>
        </w:rPr>
        <w:t xml:space="preserve"> </w:t>
      </w:r>
      <w:r w:rsidRPr="00DB3365">
        <w:rPr>
          <w:rFonts w:ascii="Arial" w:hAnsi="Arial" w:cs="Arial"/>
          <w:sz w:val="20"/>
          <w:szCs w:val="20"/>
        </w:rPr>
        <w:br/>
      </w:r>
      <w:r w:rsidRPr="00DB3365">
        <w:rPr>
          <w:rFonts w:ascii="Arial" w:hAnsi="Arial" w:cs="Arial"/>
          <w:sz w:val="20"/>
          <w:szCs w:val="20"/>
        </w:rPr>
        <w:br/>
        <w:t>Applications close Monday</w:t>
      </w:r>
      <w:r w:rsidR="00A437F8">
        <w:rPr>
          <w:rFonts w:ascii="Arial" w:hAnsi="Arial" w:cs="Arial"/>
          <w:sz w:val="20"/>
          <w:szCs w:val="20"/>
        </w:rPr>
        <w:t>,</w:t>
      </w:r>
      <w:r w:rsidRPr="00DB3365">
        <w:rPr>
          <w:rFonts w:ascii="Arial" w:hAnsi="Arial" w:cs="Arial"/>
          <w:sz w:val="20"/>
          <w:szCs w:val="20"/>
        </w:rPr>
        <w:t xml:space="preserve"> 7 December 2015. </w:t>
      </w:r>
    </w:p>
    <w:p w:rsidR="000A0B57" w:rsidRPr="000A0B57" w:rsidRDefault="000A0B57" w:rsidP="000A0B57">
      <w:pPr>
        <w:pStyle w:val="AHPRASubhead"/>
      </w:pPr>
      <w:r w:rsidRPr="000A0B57">
        <w:t>Health profession agreement</w:t>
      </w:r>
    </w:p>
    <w:p w:rsidR="000A0B57" w:rsidRPr="000A0B57" w:rsidRDefault="000A0B57" w:rsidP="000A0B57">
      <w:pPr>
        <w:rPr>
          <w:rFonts w:ascii="Arial" w:hAnsi="Arial" w:cs="Arial"/>
          <w:sz w:val="20"/>
          <w:szCs w:val="20"/>
        </w:rPr>
      </w:pPr>
      <w:r w:rsidRPr="000A0B57">
        <w:rPr>
          <w:rFonts w:ascii="Arial" w:hAnsi="Arial" w:cs="Arial"/>
          <w:sz w:val="20"/>
          <w:szCs w:val="20"/>
        </w:rPr>
        <w:t xml:space="preserve">The Board and AHPRA have published the </w:t>
      </w:r>
      <w:hyperlink r:id="rId13" w:history="1">
        <w:r w:rsidRPr="000A0B57">
          <w:rPr>
            <w:rStyle w:val="Hyperlink"/>
            <w:rFonts w:ascii="Arial" w:hAnsi="Arial" w:cs="Arial"/>
            <w:sz w:val="20"/>
            <w:szCs w:val="20"/>
          </w:rPr>
          <w:t>2015/16 health profession agreement</w:t>
        </w:r>
      </w:hyperlink>
      <w:r w:rsidRPr="000A0B57">
        <w:rPr>
          <w:rFonts w:ascii="Arial" w:hAnsi="Arial" w:cs="Arial"/>
          <w:sz w:val="20"/>
          <w:szCs w:val="20"/>
        </w:rPr>
        <w:t xml:space="preserve"> (HPA) that outlines the partnership between the Board and AHPRA, and the services AHPRA will provide to the Board in 2015/16. The HPA also provides information about the Board’s financial operations and fees</w:t>
      </w:r>
      <w:r w:rsidR="00A437F8">
        <w:rPr>
          <w:rFonts w:ascii="Arial" w:hAnsi="Arial" w:cs="Arial"/>
          <w:sz w:val="20"/>
          <w:szCs w:val="20"/>
        </w:rPr>
        <w:t>.</w:t>
      </w:r>
    </w:p>
    <w:p w:rsidR="00621A53" w:rsidRDefault="00621A53">
      <w:pPr>
        <w:pStyle w:val="AHPRASubhead"/>
        <w:spacing w:after="0"/>
      </w:pPr>
    </w:p>
    <w:p w:rsidR="006D6B97" w:rsidRPr="00F41DAF" w:rsidRDefault="003652AC" w:rsidP="006D6B97">
      <w:pPr>
        <w:pStyle w:val="AHPRASubhead"/>
      </w:pPr>
      <w:r w:rsidRPr="003652AC">
        <w:rPr>
          <w:rFonts w:cs="Arial"/>
          <w:bCs/>
          <w:szCs w:val="20"/>
        </w:rPr>
        <w:t xml:space="preserve">Reminder: </w:t>
      </w:r>
      <w:r w:rsidR="006D6B97" w:rsidRPr="00F41DAF">
        <w:t xml:space="preserve">renewal of registration </w:t>
      </w:r>
      <w:r>
        <w:t>for 2015/16</w:t>
      </w:r>
    </w:p>
    <w:p w:rsidR="003652AC" w:rsidRDefault="003652AC" w:rsidP="003652AC">
      <w:pPr>
        <w:autoSpaceDE w:val="0"/>
        <w:autoSpaceDN w:val="0"/>
        <w:adjustRightInd w:val="0"/>
        <w:rPr>
          <w:rFonts w:ascii="Arial" w:eastAsia="Cambria" w:hAnsi="Arial" w:cs="Arial"/>
          <w:color w:val="000000"/>
          <w:sz w:val="20"/>
          <w:szCs w:val="20"/>
          <w:lang w:eastAsia="en-US"/>
        </w:rPr>
      </w:pPr>
      <w:r w:rsidRPr="003652AC">
        <w:rPr>
          <w:rFonts w:ascii="Arial" w:eastAsia="Cambria" w:hAnsi="Arial" w:cs="Arial"/>
          <w:sz w:val="20"/>
          <w:szCs w:val="20"/>
        </w:rPr>
        <w:t xml:space="preserve">The Board encourages psychologists to renew their registration with the Board by 30 November. The quickest and easiest way to renew registration is online. </w:t>
      </w:r>
      <w:r w:rsidR="006D6B97" w:rsidRPr="00F41DAF">
        <w:rPr>
          <w:rFonts w:ascii="Arial" w:hAnsi="Arial" w:cs="Arial"/>
          <w:sz w:val="20"/>
          <w:szCs w:val="20"/>
        </w:rPr>
        <w:t>Psychologists who are due to renew their general or non-</w:t>
      </w:r>
      <w:r w:rsidR="006D6B97">
        <w:rPr>
          <w:rFonts w:ascii="Arial" w:hAnsi="Arial" w:cs="Arial"/>
          <w:sz w:val="20"/>
          <w:szCs w:val="20"/>
        </w:rPr>
        <w:t>practising registration with the Board</w:t>
      </w:r>
      <w:r w:rsidR="006D6B97" w:rsidRPr="00F41DAF">
        <w:rPr>
          <w:rFonts w:ascii="Arial" w:hAnsi="Arial" w:cs="Arial"/>
          <w:sz w:val="20"/>
          <w:szCs w:val="20"/>
        </w:rPr>
        <w:t xml:space="preserve"> by </w:t>
      </w:r>
      <w:r>
        <w:rPr>
          <w:rFonts w:ascii="Arial" w:hAnsi="Arial" w:cs="Arial"/>
          <w:sz w:val="20"/>
          <w:szCs w:val="20"/>
        </w:rPr>
        <w:t>30 November can apply online</w:t>
      </w:r>
      <w:r w:rsidR="006D6B97" w:rsidRPr="00F41DAF">
        <w:rPr>
          <w:rFonts w:ascii="Arial" w:hAnsi="Arial" w:cs="Arial"/>
          <w:sz w:val="20"/>
          <w:szCs w:val="20"/>
        </w:rPr>
        <w:t>.</w:t>
      </w:r>
      <w:r w:rsidRPr="003652AC">
        <w:rPr>
          <w:rFonts w:ascii="Arial" w:eastAsia="Cambria" w:hAnsi="Arial" w:cs="Arial"/>
          <w:color w:val="000000"/>
          <w:sz w:val="20"/>
          <w:szCs w:val="20"/>
          <w:lang w:eastAsia="en-US"/>
        </w:rPr>
        <w:t xml:space="preserve"> </w:t>
      </w:r>
    </w:p>
    <w:p w:rsidR="003652AC" w:rsidRDefault="003652AC" w:rsidP="003652AC">
      <w:pPr>
        <w:autoSpaceDE w:val="0"/>
        <w:autoSpaceDN w:val="0"/>
        <w:adjustRightInd w:val="0"/>
        <w:rPr>
          <w:rFonts w:ascii="Arial" w:eastAsia="Cambria" w:hAnsi="Arial" w:cs="Arial"/>
          <w:color w:val="000000"/>
          <w:sz w:val="20"/>
          <w:szCs w:val="20"/>
          <w:lang w:eastAsia="en-US"/>
        </w:rPr>
      </w:pPr>
    </w:p>
    <w:p w:rsidR="003652AC" w:rsidRPr="003652AC" w:rsidRDefault="003652AC" w:rsidP="003652AC">
      <w:pPr>
        <w:autoSpaceDE w:val="0"/>
        <w:autoSpaceDN w:val="0"/>
        <w:adjustRightInd w:val="0"/>
        <w:rPr>
          <w:rFonts w:ascii="Arial" w:eastAsia="Cambria" w:hAnsi="Arial" w:cs="Arial"/>
          <w:color w:val="000000"/>
          <w:sz w:val="20"/>
          <w:szCs w:val="20"/>
          <w:lang w:eastAsia="en-US"/>
        </w:rPr>
      </w:pPr>
      <w:r w:rsidRPr="003652AC">
        <w:rPr>
          <w:rFonts w:ascii="Arial" w:eastAsia="Cambria" w:hAnsi="Arial" w:cs="Arial"/>
          <w:color w:val="000000"/>
          <w:sz w:val="20"/>
          <w:szCs w:val="20"/>
          <w:lang w:eastAsia="en-US"/>
        </w:rPr>
        <w:t xml:space="preserve">Renewal applications received during December will incur a late payment fee. Under the National Law, practitioners who do not renew their registration within one month of their registration expiry date must be removed from the Register of Psychologists. Their registration will lapse and they will not be able to practise psychology in Australia. A fast track application can be made, but only during January. The practitioner cannot practise until the application is processed and the national register is updated. </w:t>
      </w:r>
    </w:p>
    <w:p w:rsidR="006D6B97" w:rsidRDefault="006D6B97" w:rsidP="006D6B97">
      <w:pPr>
        <w:rPr>
          <w:rFonts w:ascii="Arial" w:hAnsi="Arial" w:cs="Arial"/>
          <w:sz w:val="20"/>
          <w:szCs w:val="20"/>
        </w:rPr>
      </w:pPr>
    </w:p>
    <w:p w:rsidR="00C44332" w:rsidRDefault="00C44332">
      <w:pPr>
        <w:spacing w:after="200" w:line="276" w:lineRule="auto"/>
        <w:rPr>
          <w:rFonts w:ascii="Arial" w:hAnsi="Arial" w:cs="Arial"/>
          <w:sz w:val="20"/>
          <w:szCs w:val="20"/>
        </w:rPr>
      </w:pPr>
      <w:r>
        <w:rPr>
          <w:rFonts w:ascii="Arial" w:hAnsi="Arial" w:cs="Arial"/>
          <w:sz w:val="20"/>
          <w:szCs w:val="20"/>
        </w:rPr>
        <w:br w:type="page"/>
      </w:r>
    </w:p>
    <w:p w:rsidR="006D6B97" w:rsidRPr="00F41DAF" w:rsidRDefault="006D6B97" w:rsidP="006D6B97">
      <w:pPr>
        <w:rPr>
          <w:rFonts w:ascii="Arial" w:hAnsi="Arial" w:cs="Arial"/>
          <w:sz w:val="20"/>
          <w:szCs w:val="20"/>
        </w:rPr>
      </w:pPr>
      <w:r w:rsidRPr="00F41DAF">
        <w:rPr>
          <w:rFonts w:ascii="Arial" w:hAnsi="Arial" w:cs="Arial"/>
          <w:sz w:val="20"/>
          <w:szCs w:val="20"/>
        </w:rPr>
        <w:lastRenderedPageBreak/>
        <w:t>Useful information for psychologists is on the Board’s website:</w:t>
      </w:r>
    </w:p>
    <w:p w:rsidR="006D6B97" w:rsidRDefault="003C3262" w:rsidP="006D6B97">
      <w:pPr>
        <w:numPr>
          <w:ilvl w:val="0"/>
          <w:numId w:val="30"/>
        </w:numPr>
        <w:spacing w:before="100" w:beforeAutospacing="1" w:after="100" w:afterAutospacing="1" w:line="216" w:lineRule="atLeast"/>
        <w:rPr>
          <w:rFonts w:ascii="Arial" w:hAnsi="Arial" w:cs="Arial"/>
          <w:color w:val="444444"/>
          <w:sz w:val="20"/>
          <w:szCs w:val="20"/>
        </w:rPr>
      </w:pPr>
      <w:hyperlink r:id="rId14" w:history="1">
        <w:r w:rsidR="006D6B97" w:rsidRPr="00F41DAF">
          <w:rPr>
            <w:rStyle w:val="Hyperlink"/>
            <w:rFonts w:ascii="Arial" w:hAnsi="Arial" w:cs="Arial"/>
            <w:sz w:val="20"/>
            <w:szCs w:val="20"/>
          </w:rPr>
          <w:t>Registration standards</w:t>
        </w:r>
      </w:hyperlink>
    </w:p>
    <w:p w:rsidR="006D6B97" w:rsidRDefault="003C3262" w:rsidP="006D6B97">
      <w:pPr>
        <w:numPr>
          <w:ilvl w:val="0"/>
          <w:numId w:val="30"/>
        </w:numPr>
        <w:spacing w:before="100" w:beforeAutospacing="1" w:after="100" w:afterAutospacing="1" w:line="216" w:lineRule="atLeast"/>
        <w:rPr>
          <w:rFonts w:ascii="Arial" w:hAnsi="Arial" w:cs="Arial"/>
          <w:color w:val="444444"/>
          <w:sz w:val="20"/>
          <w:szCs w:val="20"/>
        </w:rPr>
      </w:pPr>
      <w:hyperlink r:id="rId15" w:history="1">
        <w:r w:rsidR="006D6B97" w:rsidRPr="00F41DAF">
          <w:rPr>
            <w:rStyle w:val="Hyperlink"/>
            <w:rFonts w:ascii="Arial" w:hAnsi="Arial" w:cs="Arial"/>
            <w:sz w:val="20"/>
            <w:szCs w:val="20"/>
          </w:rPr>
          <w:t>Registration renewal</w:t>
        </w:r>
      </w:hyperlink>
    </w:p>
    <w:p w:rsidR="006D6B97" w:rsidRDefault="003C3262" w:rsidP="006D6B97">
      <w:pPr>
        <w:numPr>
          <w:ilvl w:val="0"/>
          <w:numId w:val="30"/>
        </w:numPr>
        <w:spacing w:before="100" w:beforeAutospacing="1" w:after="100" w:afterAutospacing="1" w:line="216" w:lineRule="atLeast"/>
        <w:rPr>
          <w:rFonts w:ascii="Arial" w:hAnsi="Arial" w:cs="Arial"/>
          <w:color w:val="444444"/>
          <w:sz w:val="20"/>
          <w:szCs w:val="20"/>
        </w:rPr>
      </w:pPr>
      <w:hyperlink r:id="rId16" w:history="1">
        <w:r w:rsidR="006D6B97" w:rsidRPr="00F41DAF">
          <w:rPr>
            <w:rStyle w:val="Hyperlink"/>
            <w:rFonts w:ascii="Arial" w:hAnsi="Arial" w:cs="Arial"/>
            <w:sz w:val="20"/>
            <w:szCs w:val="20"/>
          </w:rPr>
          <w:t>Renewal FAQ</w:t>
        </w:r>
      </w:hyperlink>
    </w:p>
    <w:p w:rsidR="006D6B97" w:rsidRPr="00E974B7" w:rsidRDefault="006D6B97" w:rsidP="006D6B97">
      <w:pPr>
        <w:rPr>
          <w:rFonts w:ascii="Arial" w:hAnsi="Arial" w:cs="Arial"/>
          <w:sz w:val="20"/>
          <w:szCs w:val="20"/>
        </w:rPr>
      </w:pPr>
      <w:r w:rsidRPr="00E974B7">
        <w:rPr>
          <w:rFonts w:ascii="Arial" w:hAnsi="Arial" w:cs="Arial"/>
          <w:sz w:val="20"/>
          <w:szCs w:val="20"/>
        </w:rPr>
        <w:t>Professor Brin Grenyer</w:t>
      </w:r>
    </w:p>
    <w:p w:rsidR="006D6B97" w:rsidRPr="007A1EB6" w:rsidRDefault="006D6B97" w:rsidP="006D6B97">
      <w:pPr>
        <w:pStyle w:val="AHPRASubhead"/>
        <w:spacing w:after="0"/>
        <w:rPr>
          <w:rFonts w:cs="Arial"/>
          <w:color w:val="auto"/>
          <w:szCs w:val="20"/>
        </w:rPr>
      </w:pPr>
      <w:r w:rsidRPr="007A1EB6">
        <w:rPr>
          <w:rFonts w:cs="Arial"/>
          <w:color w:val="auto"/>
          <w:szCs w:val="20"/>
        </w:rPr>
        <w:t>Chair</w:t>
      </w:r>
    </w:p>
    <w:p w:rsidR="006D6B97" w:rsidRPr="00E974B7" w:rsidRDefault="006D6B97" w:rsidP="006D6B97">
      <w:pPr>
        <w:pStyle w:val="AHPRASubhead"/>
        <w:rPr>
          <w:rFonts w:cs="Arial"/>
          <w:color w:val="auto"/>
          <w:szCs w:val="20"/>
        </w:rPr>
      </w:pPr>
      <w:r w:rsidRPr="00745324">
        <w:rPr>
          <w:rFonts w:cs="Arial"/>
          <w:color w:val="auto"/>
          <w:szCs w:val="20"/>
        </w:rPr>
        <w:t>Psychology Board of Australia</w:t>
      </w:r>
    </w:p>
    <w:p w:rsidR="006D6B97" w:rsidRDefault="00A62AA6" w:rsidP="006D6B97">
      <w:r>
        <w:rPr>
          <w:rFonts w:ascii="Arial" w:hAnsi="Arial" w:cs="Arial"/>
          <w:sz w:val="20"/>
          <w:szCs w:val="20"/>
        </w:rPr>
        <w:t xml:space="preserve">6 </w:t>
      </w:r>
      <w:r w:rsidR="006D6B97">
        <w:rPr>
          <w:rFonts w:ascii="Arial" w:hAnsi="Arial" w:cs="Arial"/>
          <w:sz w:val="20"/>
          <w:szCs w:val="20"/>
        </w:rPr>
        <w:t>November 2015</w:t>
      </w:r>
    </w:p>
    <w:p w:rsidR="00CD3FE0" w:rsidRDefault="00CD3FE0"/>
    <w:sectPr w:rsidR="00CD3FE0" w:rsidSect="00FE36EA">
      <w:footerReference w:type="default" r:id="rId17"/>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95" w:rsidRDefault="00227295" w:rsidP="00F84B3B">
      <w:r>
        <w:separator/>
      </w:r>
    </w:p>
  </w:endnote>
  <w:endnote w:type="continuationSeparator" w:id="0">
    <w:p w:rsidR="00227295" w:rsidRDefault="00227295" w:rsidP="00F8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EA" w:rsidRPr="007B1F64" w:rsidRDefault="00A8192C">
    <w:pPr>
      <w:pStyle w:val="Footer"/>
      <w:jc w:val="center"/>
      <w:rPr>
        <w:rFonts w:ascii="Arial" w:hAnsi="Arial" w:cs="Arial"/>
        <w:sz w:val="20"/>
        <w:szCs w:val="20"/>
      </w:rPr>
    </w:pPr>
    <w:r w:rsidRPr="007B1F64">
      <w:rPr>
        <w:rFonts w:ascii="Arial" w:hAnsi="Arial" w:cs="Arial"/>
        <w:sz w:val="20"/>
        <w:szCs w:val="20"/>
      </w:rPr>
      <w:fldChar w:fldCharType="begin"/>
    </w:r>
    <w:r w:rsidR="000A0B57" w:rsidRPr="007B1F64">
      <w:rPr>
        <w:rFonts w:ascii="Arial" w:hAnsi="Arial" w:cs="Arial"/>
        <w:sz w:val="20"/>
        <w:szCs w:val="20"/>
      </w:rPr>
      <w:instrText xml:space="preserve"> PAGE   \* MERGEFORMAT </w:instrText>
    </w:r>
    <w:r w:rsidRPr="007B1F64">
      <w:rPr>
        <w:rFonts w:ascii="Arial" w:hAnsi="Arial" w:cs="Arial"/>
        <w:sz w:val="20"/>
        <w:szCs w:val="20"/>
      </w:rPr>
      <w:fldChar w:fldCharType="separate"/>
    </w:r>
    <w:r w:rsidR="003C3262">
      <w:rPr>
        <w:rFonts w:ascii="Arial" w:hAnsi="Arial" w:cs="Arial"/>
        <w:noProof/>
        <w:sz w:val="20"/>
        <w:szCs w:val="20"/>
      </w:rPr>
      <w:t>2</w:t>
    </w:r>
    <w:r w:rsidRPr="007B1F64">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95" w:rsidRDefault="00227295" w:rsidP="00F84B3B">
      <w:r>
        <w:separator/>
      </w:r>
    </w:p>
  </w:footnote>
  <w:footnote w:type="continuationSeparator" w:id="0">
    <w:p w:rsidR="00227295" w:rsidRDefault="00227295" w:rsidP="00F84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0C106E"/>
    <w:multiLevelType w:val="hybridMultilevel"/>
    <w:tmpl w:val="1DFE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42B6DE5"/>
    <w:multiLevelType w:val="hybridMultilevel"/>
    <w:tmpl w:val="F5206BCA"/>
    <w:lvl w:ilvl="0" w:tplc="7B446624">
      <w:start w:val="1"/>
      <w:numFmt w:val="bullet"/>
      <w:lvlText w:val=""/>
      <w:lvlJc w:val="left"/>
      <w:pPr>
        <w:ind w:left="720" w:hanging="360"/>
      </w:pPr>
      <w:rPr>
        <w:rFonts w:ascii="Symbol" w:hAnsi="Symbol" w:hint="default"/>
        <w:color w:val="000000" w:themeColor="text1"/>
      </w:rPr>
    </w:lvl>
    <w:lvl w:ilvl="1" w:tplc="9B9A12EA">
      <w:start w:val="1"/>
      <w:numFmt w:val="bullet"/>
      <w:lvlText w:val=""/>
      <w:lvlJc w:val="left"/>
      <w:pPr>
        <w:ind w:left="1440" w:hanging="360"/>
      </w:pPr>
      <w:rPr>
        <w:rFonts w:ascii="Symbol" w:hAnsi="Symbol"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0564E"/>
    <w:multiLevelType w:val="multilevel"/>
    <w:tmpl w:val="61BE4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615CC"/>
    <w:multiLevelType w:val="multilevel"/>
    <w:tmpl w:val="E2D6D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660"/>
    <w:multiLevelType w:val="multilevel"/>
    <w:tmpl w:val="C4183F12"/>
    <w:numStyleLink w:val="AHPRANumberedlist"/>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8"/>
  </w:num>
  <w:num w:numId="6">
    <w:abstractNumId w:val="15"/>
  </w:num>
  <w:num w:numId="7">
    <w:abstractNumId w:val="15"/>
  </w:num>
  <w:num w:numId="8">
    <w:abstractNumId w:val="14"/>
  </w:num>
  <w:num w:numId="9">
    <w:abstractNumId w:val="14"/>
  </w:num>
  <w:num w:numId="10">
    <w:abstractNumId w:val="13"/>
  </w:num>
  <w:num w:numId="11">
    <w:abstractNumId w:val="13"/>
    <w:lvlOverride w:ilvl="0">
      <w:lvl w:ilvl="0">
        <w:start w:val="1"/>
        <w:numFmt w:val="decimal"/>
        <w:lvlText w:val="%1"/>
        <w:lvlJc w:val="left"/>
        <w:pPr>
          <w:ind w:left="284" w:hanging="284"/>
        </w:pPr>
        <w:rPr>
          <w:rFonts w:ascii="Arial" w:hAnsi="Arial" w:hint="default"/>
          <w:b/>
          <w:color w:val="008EC4"/>
          <w:sz w:val="20"/>
        </w:rPr>
      </w:lvl>
    </w:lvlOverride>
  </w:num>
  <w:num w:numId="12">
    <w:abstractNumId w:val="13"/>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1"/>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3"/>
  </w:num>
  <w:num w:numId="22">
    <w:abstractNumId w:val="3"/>
  </w:num>
  <w:num w:numId="23">
    <w:abstractNumId w:val="3"/>
  </w:num>
  <w:num w:numId="24">
    <w:abstractNumId w:val="11"/>
  </w:num>
  <w:num w:numId="25">
    <w:abstractNumId w:val="8"/>
  </w:num>
  <w:num w:numId="26">
    <w:abstractNumId w:val="16"/>
  </w:num>
  <w:num w:numId="27">
    <w:abstractNumId w:val="0"/>
  </w:num>
  <w:num w:numId="28">
    <w:abstractNumId w:val="8"/>
  </w:num>
  <w:num w:numId="29">
    <w:abstractNumId w:val="5"/>
  </w:num>
  <w:num w:numId="30">
    <w:abstractNumId w:val="10"/>
  </w:num>
  <w:num w:numId="31">
    <w:abstractNumId w:val="9"/>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6B97"/>
    <w:rsid w:val="000A0B57"/>
    <w:rsid w:val="001075FC"/>
    <w:rsid w:val="00227295"/>
    <w:rsid w:val="003652AC"/>
    <w:rsid w:val="00370535"/>
    <w:rsid w:val="003A0266"/>
    <w:rsid w:val="003C3262"/>
    <w:rsid w:val="00504E06"/>
    <w:rsid w:val="00621A53"/>
    <w:rsid w:val="00662409"/>
    <w:rsid w:val="006D6B97"/>
    <w:rsid w:val="009030AA"/>
    <w:rsid w:val="00994105"/>
    <w:rsid w:val="009F3D79"/>
    <w:rsid w:val="00A437F8"/>
    <w:rsid w:val="00A44423"/>
    <w:rsid w:val="00A62AA6"/>
    <w:rsid w:val="00A76DCC"/>
    <w:rsid w:val="00A8192C"/>
    <w:rsid w:val="00B569B5"/>
    <w:rsid w:val="00C44332"/>
    <w:rsid w:val="00CD3FE0"/>
    <w:rsid w:val="00D121D5"/>
    <w:rsid w:val="00D76BB8"/>
    <w:rsid w:val="00DA51D3"/>
    <w:rsid w:val="00DB3365"/>
    <w:rsid w:val="00E0714F"/>
    <w:rsid w:val="00F84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2" type="connector" idref="#AutoShape 3"/>
      </o:rules>
    </o:shapelayout>
  </w:shapeDefaults>
  <w:decimalSymbol w:val="."/>
  <w:listSeparator w:val=","/>
  <w15:docId w15:val="{9FCC17D2-6D4B-4B78-AD9A-A45178C3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9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9030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9030A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pPr>
      <w:spacing w:after="0" w:line="240" w:lineRule="auto"/>
    </w:pPr>
  </w:style>
  <w:style w:type="paragraph" w:styleId="ListParagraph">
    <w:name w:val="List Paragraph"/>
    <w:basedOn w:val="Normal"/>
    <w:uiPriority w:val="34"/>
    <w:qFormat/>
    <w:rsid w:val="009030AA"/>
    <w:pPr>
      <w:ind w:left="720"/>
      <w:contextualSpacing/>
    </w:pPr>
  </w:style>
  <w:style w:type="character" w:styleId="IntenseEmphasis">
    <w:name w:val="Intense Emphasis"/>
    <w:aliases w:val="AHPRA- Footer"/>
    <w:uiPriority w:val="1"/>
    <w:unhideWhenUsed/>
    <w:qFormat/>
    <w:rsid w:val="009030AA"/>
    <w:rPr>
      <w:rFonts w:ascii="Arial" w:hAnsi="Arial" w:cs="Arial"/>
      <w:sz w:val="16"/>
    </w:rPr>
  </w:style>
  <w:style w:type="paragraph" w:customStyle="1" w:styleId="AHPRAbody">
    <w:name w:val="AHPRA body"/>
    <w:basedOn w:val="Normal"/>
    <w:link w:val="AHPRAbodyChar"/>
    <w:qFormat/>
    <w:rsid w:val="009030AA"/>
    <w:rPr>
      <w:rFonts w:cs="Arial"/>
      <w:sz w:val="20"/>
    </w:rPr>
  </w:style>
  <w:style w:type="character" w:customStyle="1" w:styleId="AHPRAbodyChar">
    <w:name w:val="AHPRA body Char"/>
    <w:basedOn w:val="DefaultParagraphFont"/>
    <w:link w:val="AHPRAbody"/>
    <w:rsid w:val="009030AA"/>
    <w:rPr>
      <w:rFonts w:eastAsia="Cambria"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qFormat/>
    <w:rsid w:val="009030AA"/>
    <w:pPr>
      <w:spacing w:after="240" w:line="240" w:lineRule="auto"/>
      <w:ind w:left="425"/>
    </w:pPr>
    <w:rPr>
      <w:rFonts w:eastAsia="Calibri" w:cs="Times New Roman"/>
    </w:rPr>
  </w:style>
  <w:style w:type="paragraph" w:customStyle="1" w:styleId="AHPRAbodybold">
    <w:name w:val="AHPRA body bold"/>
    <w:basedOn w:val="AHPRAbody"/>
    <w:qFormat/>
    <w:rsid w:val="009030AA"/>
    <w:rPr>
      <w:b/>
    </w:rPr>
  </w:style>
  <w:style w:type="paragraph" w:customStyle="1" w:styleId="AHPRAbodyContextparanumbered">
    <w:name w:val="AHPRA body 'Context' para numbered"/>
    <w:uiPriority w:val="1"/>
    <w:qFormat/>
    <w:rsid w:val="009030AA"/>
    <w:pPr>
      <w:numPr>
        <w:numId w:val="27"/>
      </w:numPr>
      <w:spacing w:line="240" w:lineRule="auto"/>
    </w:pPr>
    <w:rPr>
      <w:rFonts w:cs="Arial"/>
      <w:szCs w:val="24"/>
    </w:rPr>
  </w:style>
  <w:style w:type="paragraph" w:customStyle="1" w:styleId="AHPRAbodyitalics">
    <w:name w:val="AHPRA body italics"/>
    <w:basedOn w:val="AHPRAbodybold"/>
    <w:qFormat/>
    <w:rsid w:val="009030AA"/>
    <w:rPr>
      <w:b w:val="0"/>
      <w:i/>
    </w:rPr>
  </w:style>
  <w:style w:type="paragraph" w:customStyle="1" w:styleId="AHPRAbodytext">
    <w:name w:val="AHPRA body text"/>
    <w:basedOn w:val="Normal"/>
    <w:rsid w:val="003A0266"/>
    <w:rPr>
      <w:rFonts w:cs="Arial"/>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9030AA"/>
    <w:pPr>
      <w:numPr>
        <w:numId w:val="28"/>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9030AA"/>
    <w:pPr>
      <w:outlineLvl w:val="0"/>
    </w:pPr>
    <w:rPr>
      <w:rFonts w:cs="Arial"/>
      <w:color w:val="5F6062"/>
      <w:sz w:val="28"/>
      <w:szCs w:val="52"/>
    </w:rPr>
  </w:style>
  <w:style w:type="paragraph" w:customStyle="1" w:styleId="AHPRADocumenttitle">
    <w:name w:val="AHPRA Document title"/>
    <w:basedOn w:val="Normal"/>
    <w:rsid w:val="003A0266"/>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rFonts w:cs="Arial"/>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qFormat/>
    <w:rsid w:val="009030AA"/>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9030AA"/>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9030AA"/>
    <w:rPr>
      <w:color w:val="auto"/>
    </w:rPr>
  </w:style>
  <w:style w:type="paragraph" w:customStyle="1" w:styleId="AHPRASubheadinglevel3">
    <w:name w:val="AHPRA Subheading level 3"/>
    <w:basedOn w:val="AHPRASubheading"/>
    <w:next w:val="Normal"/>
    <w:qFormat/>
    <w:rsid w:val="009030AA"/>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9030AA"/>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9030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9030AA"/>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9030AA"/>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pPr>
      <w:spacing w:after="0" w:line="240" w:lineRule="auto"/>
    </w:pPr>
    <w:rPr>
      <w:rFonts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line="276" w:lineRule="auto"/>
      <w:outlineLvl w:val="9"/>
    </w:pPr>
    <w:rPr>
      <w:szCs w:val="28"/>
    </w:rPr>
  </w:style>
  <w:style w:type="paragraph" w:customStyle="1" w:styleId="Default">
    <w:name w:val="Default"/>
    <w:rsid w:val="006D6B9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6D6B97"/>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6D6B97"/>
    <w:pPr>
      <w:spacing w:after="200"/>
    </w:pPr>
    <w:rPr>
      <w:rFonts w:ascii="Arial" w:eastAsia="Cambria" w:hAnsi="Arial"/>
      <w:b/>
      <w:color w:val="008EC4"/>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418">
      <w:bodyDiv w:val="1"/>
      <w:marLeft w:val="0"/>
      <w:marRight w:val="0"/>
      <w:marTop w:val="0"/>
      <w:marBottom w:val="0"/>
      <w:divBdr>
        <w:top w:val="none" w:sz="0" w:space="0" w:color="auto"/>
        <w:left w:val="none" w:sz="0" w:space="0" w:color="auto"/>
        <w:bottom w:val="none" w:sz="0" w:space="0" w:color="auto"/>
        <w:right w:val="none" w:sz="0" w:space="0" w:color="auto"/>
      </w:divBdr>
    </w:div>
    <w:div w:id="463232906">
      <w:bodyDiv w:val="1"/>
      <w:marLeft w:val="0"/>
      <w:marRight w:val="0"/>
      <w:marTop w:val="0"/>
      <w:marBottom w:val="0"/>
      <w:divBdr>
        <w:top w:val="none" w:sz="0" w:space="0" w:color="auto"/>
        <w:left w:val="none" w:sz="0" w:space="0" w:color="auto"/>
        <w:bottom w:val="none" w:sz="0" w:space="0" w:color="auto"/>
        <w:right w:val="none" w:sz="0" w:space="0" w:color="auto"/>
      </w:divBdr>
      <w:divsChild>
        <w:div w:id="782725182">
          <w:marLeft w:val="0"/>
          <w:marRight w:val="0"/>
          <w:marTop w:val="0"/>
          <w:marBottom w:val="0"/>
          <w:divBdr>
            <w:top w:val="none" w:sz="0" w:space="0" w:color="auto"/>
            <w:left w:val="none" w:sz="0" w:space="0" w:color="auto"/>
            <w:bottom w:val="none" w:sz="0" w:space="0" w:color="auto"/>
            <w:right w:val="none" w:sz="0" w:space="0" w:color="auto"/>
          </w:divBdr>
          <w:divsChild>
            <w:div w:id="828207290">
              <w:marLeft w:val="0"/>
              <w:marRight w:val="0"/>
              <w:marTop w:val="0"/>
              <w:marBottom w:val="0"/>
              <w:divBdr>
                <w:top w:val="none" w:sz="0" w:space="0" w:color="auto"/>
                <w:left w:val="none" w:sz="0" w:space="0" w:color="auto"/>
                <w:bottom w:val="none" w:sz="0" w:space="0" w:color="auto"/>
                <w:right w:val="none" w:sz="0" w:space="0" w:color="auto"/>
              </w:divBdr>
              <w:divsChild>
                <w:div w:id="17447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6840">
      <w:bodyDiv w:val="1"/>
      <w:marLeft w:val="0"/>
      <w:marRight w:val="0"/>
      <w:marTop w:val="0"/>
      <w:marBottom w:val="0"/>
      <w:divBdr>
        <w:top w:val="none" w:sz="0" w:space="0" w:color="auto"/>
        <w:left w:val="none" w:sz="0" w:space="0" w:color="auto"/>
        <w:bottom w:val="none" w:sz="0" w:space="0" w:color="auto"/>
        <w:right w:val="none" w:sz="0" w:space="0" w:color="auto"/>
      </w:divBdr>
      <w:divsChild>
        <w:div w:id="1293170616">
          <w:marLeft w:val="0"/>
          <w:marRight w:val="0"/>
          <w:marTop w:val="0"/>
          <w:marBottom w:val="0"/>
          <w:divBdr>
            <w:top w:val="none" w:sz="0" w:space="0" w:color="auto"/>
            <w:left w:val="none" w:sz="0" w:space="0" w:color="auto"/>
            <w:bottom w:val="none" w:sz="0" w:space="0" w:color="auto"/>
            <w:right w:val="none" w:sz="0" w:space="0" w:color="auto"/>
          </w:divBdr>
          <w:divsChild>
            <w:div w:id="41247856">
              <w:marLeft w:val="0"/>
              <w:marRight w:val="0"/>
              <w:marTop w:val="0"/>
              <w:marBottom w:val="0"/>
              <w:divBdr>
                <w:top w:val="none" w:sz="0" w:space="0" w:color="auto"/>
                <w:left w:val="none" w:sz="0" w:space="0" w:color="auto"/>
                <w:bottom w:val="none" w:sz="0" w:space="0" w:color="auto"/>
                <w:right w:val="none" w:sz="0" w:space="0" w:color="auto"/>
              </w:divBdr>
              <w:divsChild>
                <w:div w:id="1701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09167">
      <w:bodyDiv w:val="1"/>
      <w:marLeft w:val="0"/>
      <w:marRight w:val="0"/>
      <w:marTop w:val="0"/>
      <w:marBottom w:val="0"/>
      <w:divBdr>
        <w:top w:val="none" w:sz="0" w:space="0" w:color="auto"/>
        <w:left w:val="none" w:sz="0" w:space="0" w:color="auto"/>
        <w:bottom w:val="none" w:sz="0" w:space="0" w:color="auto"/>
        <w:right w:val="none" w:sz="0" w:space="0" w:color="auto"/>
      </w:divBdr>
    </w:div>
    <w:div w:id="1891648243">
      <w:bodyDiv w:val="1"/>
      <w:marLeft w:val="0"/>
      <w:marRight w:val="0"/>
      <w:marTop w:val="0"/>
      <w:marBottom w:val="0"/>
      <w:divBdr>
        <w:top w:val="none" w:sz="0" w:space="0" w:color="auto"/>
        <w:left w:val="none" w:sz="0" w:space="0" w:color="auto"/>
        <w:bottom w:val="none" w:sz="0" w:space="0" w:color="auto"/>
        <w:right w:val="none" w:sz="0" w:space="0" w:color="auto"/>
      </w:divBdr>
      <w:divsChild>
        <w:div w:id="200752769">
          <w:marLeft w:val="0"/>
          <w:marRight w:val="0"/>
          <w:marTop w:val="0"/>
          <w:marBottom w:val="0"/>
          <w:divBdr>
            <w:top w:val="none" w:sz="0" w:space="0" w:color="auto"/>
            <w:left w:val="none" w:sz="0" w:space="0" w:color="auto"/>
            <w:bottom w:val="none" w:sz="0" w:space="0" w:color="auto"/>
            <w:right w:val="none" w:sz="0" w:space="0" w:color="auto"/>
          </w:divBdr>
          <w:divsChild>
            <w:div w:id="1009138762">
              <w:marLeft w:val="0"/>
              <w:marRight w:val="0"/>
              <w:marTop w:val="0"/>
              <w:marBottom w:val="0"/>
              <w:divBdr>
                <w:top w:val="none" w:sz="0" w:space="0" w:color="auto"/>
                <w:left w:val="none" w:sz="0" w:space="0" w:color="auto"/>
                <w:bottom w:val="none" w:sz="0" w:space="0" w:color="auto"/>
                <w:right w:val="none" w:sz="0" w:space="0" w:color="auto"/>
              </w:divBdr>
              <w:divsChild>
                <w:div w:id="437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Past-Consultations.aspx" TargetMode="External"/><Relationship Id="rId13" Type="http://schemas.openxmlformats.org/officeDocument/2006/relationships/hyperlink" Target="http://www.psychologyboard.gov.au/About/Health-Profession-Agreement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tutoryappointments@ahpra.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sychologyboard.gov.au/Standards-and-Guidelines/FAQ/Renew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News/2015-10-30-registration-standards.aspx" TargetMode="External"/><Relationship Id="rId5" Type="http://schemas.openxmlformats.org/officeDocument/2006/relationships/footnotes" Target="footnotes.xml"/><Relationship Id="rId15" Type="http://schemas.openxmlformats.org/officeDocument/2006/relationships/hyperlink" Target="http://www.psychologyboard.gov.au/Registration/Renewals.aspx" TargetMode="External"/><Relationship Id="rId10" Type="http://schemas.openxmlformats.org/officeDocument/2006/relationships/hyperlink" Target="http://www.ahpra.gov.au/News/2015-10-02-annual-repor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hpra.gov.au/annualreport/2015" TargetMode="External"/><Relationship Id="rId14" Type="http://schemas.openxmlformats.org/officeDocument/2006/relationships/hyperlink" Target="http://www.psychologyboard.gov.au/Standards-and-Guidelines/Registration-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- 30 October 2015</dc:title>
  <dc:subject>Communique</dc:subject>
  <dc:creator>Psychology Board</dc:creator>
  <cp:lastModifiedBy>Sheryl Kamath</cp:lastModifiedBy>
  <cp:revision>2</cp:revision>
  <dcterms:created xsi:type="dcterms:W3CDTF">2015-11-09T22:13:00Z</dcterms:created>
  <dcterms:modified xsi:type="dcterms:W3CDTF">2015-11-09T22:13:00Z</dcterms:modified>
</cp:coreProperties>
</file>