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D3D" w:rsidRDefault="000F5BCF" w:rsidP="001467DF">
      <w:bookmarkStart w:id="0" w:name="_Toc411420006"/>
      <w:bookmarkStart w:id="1" w:name="_Toc411850371"/>
      <w:bookmarkStart w:id="2" w:name="_Toc411850437"/>
      <w:bookmarkStart w:id="3" w:name="_Toc412039631"/>
      <w:bookmarkStart w:id="4" w:name="_Toc413770870"/>
      <w:bookmarkStart w:id="5" w:name="_Toc413851255"/>
      <w:r>
        <w:rPr>
          <w:noProof/>
          <w:lang w:val="en-AU" w:eastAsia="en-AU" w:bidi="ar-SA"/>
        </w:rPr>
        <w:drawing>
          <wp:anchor distT="0" distB="0" distL="114300" distR="114300" simplePos="0" relativeHeight="251659264" behindDoc="1" locked="0" layoutInCell="1" allowOverlap="1" wp14:anchorId="0A7CA2F1" wp14:editId="6A83A15C">
            <wp:simplePos x="0" y="0"/>
            <wp:positionH relativeFrom="column">
              <wp:posOffset>-924560</wp:posOffset>
            </wp:positionH>
            <wp:positionV relativeFrom="paragraph">
              <wp:posOffset>-923290</wp:posOffset>
            </wp:positionV>
            <wp:extent cx="7560310" cy="10694035"/>
            <wp:effectExtent l="0" t="0" r="254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7560310" cy="10694035"/>
                    </a:xfrm>
                    <a:prstGeom prst="rect">
                      <a:avLst/>
                    </a:prstGeom>
                    <a:noFill/>
                  </pic:spPr>
                </pic:pic>
              </a:graphicData>
            </a:graphic>
          </wp:anchor>
        </w:drawing>
      </w:r>
      <w:bookmarkEnd w:id="0"/>
      <w:bookmarkEnd w:id="1"/>
      <w:bookmarkEnd w:id="2"/>
      <w:bookmarkEnd w:id="3"/>
      <w:bookmarkEnd w:id="4"/>
      <w:bookmarkEnd w:id="5"/>
    </w:p>
    <w:p w:rsidR="00837D3D" w:rsidRDefault="00837D3D" w:rsidP="001467DF"/>
    <w:p w:rsidR="00837D3D" w:rsidRDefault="00837D3D" w:rsidP="001467DF"/>
    <w:p w:rsidR="00837D3D" w:rsidRDefault="00837D3D" w:rsidP="001467DF"/>
    <w:p w:rsidR="00837D3D" w:rsidRDefault="00837D3D" w:rsidP="001467DF"/>
    <w:p w:rsidR="00837D3D" w:rsidRDefault="00837D3D" w:rsidP="001467DF"/>
    <w:p w:rsidR="00BD3237" w:rsidRDefault="00C264DA" w:rsidP="00A55CD7">
      <w:pPr>
        <w:ind w:left="0"/>
        <w:jc w:val="center"/>
        <w:rPr>
          <w:b/>
          <w:sz w:val="36"/>
          <w:szCs w:val="36"/>
        </w:rPr>
      </w:pPr>
      <w:bookmarkStart w:id="6" w:name="_Toc413770871"/>
      <w:bookmarkStart w:id="7" w:name="_Toc413851256"/>
      <w:bookmarkStart w:id="8" w:name="_Toc411420007"/>
      <w:bookmarkStart w:id="9" w:name="_Toc411850372"/>
      <w:bookmarkStart w:id="10" w:name="_Toc411850438"/>
      <w:bookmarkStart w:id="11" w:name="_Toc412039632"/>
      <w:r>
        <w:rPr>
          <w:b/>
          <w:sz w:val="36"/>
          <w:szCs w:val="36"/>
        </w:rPr>
        <w:t xml:space="preserve">Response to </w:t>
      </w:r>
      <w:r w:rsidR="00BD3237">
        <w:rPr>
          <w:b/>
          <w:sz w:val="36"/>
          <w:szCs w:val="36"/>
        </w:rPr>
        <w:t>the</w:t>
      </w:r>
      <w:bookmarkEnd w:id="6"/>
      <w:bookmarkEnd w:id="7"/>
    </w:p>
    <w:p w:rsidR="00BD3237" w:rsidRDefault="00BD3237" w:rsidP="001467DF">
      <w:pPr>
        <w:ind w:left="0"/>
        <w:jc w:val="center"/>
        <w:rPr>
          <w:b/>
          <w:sz w:val="36"/>
          <w:szCs w:val="36"/>
        </w:rPr>
      </w:pPr>
      <w:bookmarkStart w:id="12" w:name="_Toc413770872"/>
      <w:bookmarkStart w:id="13" w:name="_Toc413851257"/>
      <w:r>
        <w:rPr>
          <w:b/>
          <w:sz w:val="36"/>
          <w:szCs w:val="36"/>
        </w:rPr>
        <w:t>Psychology Board of Australia</w:t>
      </w:r>
      <w:bookmarkEnd w:id="12"/>
      <w:bookmarkEnd w:id="13"/>
      <w:r w:rsidR="00C32AE0">
        <w:rPr>
          <w:b/>
          <w:sz w:val="36"/>
          <w:szCs w:val="36"/>
        </w:rPr>
        <w:t xml:space="preserve"> </w:t>
      </w:r>
    </w:p>
    <w:p w:rsidR="000638BE" w:rsidRDefault="00BD3237" w:rsidP="001467DF">
      <w:pPr>
        <w:ind w:left="0"/>
        <w:jc w:val="center"/>
        <w:rPr>
          <w:b/>
          <w:sz w:val="36"/>
          <w:szCs w:val="36"/>
        </w:rPr>
      </w:pPr>
      <w:bookmarkStart w:id="14" w:name="_Toc413770873"/>
      <w:bookmarkStart w:id="15" w:name="_Toc413851258"/>
      <w:r>
        <w:rPr>
          <w:b/>
          <w:sz w:val="36"/>
          <w:szCs w:val="36"/>
        </w:rPr>
        <w:t xml:space="preserve">Public </w:t>
      </w:r>
      <w:r w:rsidR="000638BE">
        <w:rPr>
          <w:b/>
          <w:sz w:val="36"/>
          <w:szCs w:val="36"/>
        </w:rPr>
        <w:t>Consultation Paper 25</w:t>
      </w:r>
      <w:r w:rsidR="00C264DA">
        <w:rPr>
          <w:b/>
          <w:sz w:val="36"/>
          <w:szCs w:val="36"/>
        </w:rPr>
        <w:t>:</w:t>
      </w:r>
      <w:bookmarkEnd w:id="14"/>
      <w:bookmarkEnd w:id="15"/>
      <w:r w:rsidR="00C264DA">
        <w:rPr>
          <w:b/>
          <w:sz w:val="36"/>
          <w:szCs w:val="36"/>
        </w:rPr>
        <w:t xml:space="preserve"> </w:t>
      </w:r>
    </w:p>
    <w:p w:rsidR="000638BE" w:rsidRDefault="000638BE" w:rsidP="001467DF">
      <w:pPr>
        <w:ind w:left="0"/>
        <w:jc w:val="center"/>
        <w:rPr>
          <w:b/>
          <w:sz w:val="36"/>
          <w:szCs w:val="36"/>
        </w:rPr>
      </w:pPr>
    </w:p>
    <w:p w:rsidR="00BD3237" w:rsidRDefault="000638BE" w:rsidP="001467DF">
      <w:pPr>
        <w:ind w:left="0"/>
        <w:jc w:val="center"/>
        <w:rPr>
          <w:b/>
          <w:sz w:val="36"/>
          <w:szCs w:val="36"/>
        </w:rPr>
      </w:pPr>
      <w:r>
        <w:rPr>
          <w:b/>
          <w:sz w:val="36"/>
          <w:szCs w:val="36"/>
        </w:rPr>
        <w:t xml:space="preserve">Consultation </w:t>
      </w:r>
      <w:r w:rsidRPr="000638BE">
        <w:rPr>
          <w:b/>
          <w:sz w:val="36"/>
          <w:szCs w:val="36"/>
        </w:rPr>
        <w:t>on ending the higher degree exemption from sitting the National Psychology Examination</w:t>
      </w:r>
    </w:p>
    <w:p w:rsidR="00BD3237" w:rsidRDefault="00BD3237" w:rsidP="00A55CD7">
      <w:pPr>
        <w:ind w:left="0"/>
        <w:rPr>
          <w:b/>
          <w:sz w:val="32"/>
          <w:szCs w:val="32"/>
        </w:rPr>
      </w:pPr>
      <w:bookmarkStart w:id="16" w:name="_Toc411420008"/>
      <w:bookmarkStart w:id="17" w:name="_Toc411850373"/>
      <w:bookmarkStart w:id="18" w:name="_Toc411850439"/>
      <w:bookmarkStart w:id="19" w:name="_Toc412039633"/>
      <w:bookmarkEnd w:id="8"/>
      <w:bookmarkEnd w:id="9"/>
      <w:bookmarkEnd w:id="10"/>
      <w:bookmarkEnd w:id="11"/>
    </w:p>
    <w:bookmarkEnd w:id="16"/>
    <w:bookmarkEnd w:id="17"/>
    <w:bookmarkEnd w:id="18"/>
    <w:bookmarkEnd w:id="19"/>
    <w:p w:rsidR="00837D3D" w:rsidRPr="00BD3237" w:rsidRDefault="00147252" w:rsidP="00EB7E2A">
      <w:pPr>
        <w:ind w:left="0"/>
        <w:jc w:val="center"/>
        <w:rPr>
          <w:sz w:val="32"/>
          <w:szCs w:val="32"/>
        </w:rPr>
      </w:pPr>
      <w:r>
        <w:rPr>
          <w:sz w:val="32"/>
          <w:szCs w:val="32"/>
        </w:rPr>
        <w:t xml:space="preserve"> APS</w:t>
      </w:r>
      <w:bookmarkStart w:id="20" w:name="_GoBack"/>
      <w:bookmarkEnd w:id="20"/>
      <w:r w:rsidR="00F83025">
        <w:rPr>
          <w:sz w:val="32"/>
          <w:szCs w:val="32"/>
        </w:rPr>
        <w:t xml:space="preserve">October </w:t>
      </w:r>
      <w:r w:rsidR="00F83025" w:rsidRPr="00BD3237">
        <w:rPr>
          <w:sz w:val="32"/>
          <w:szCs w:val="32"/>
        </w:rPr>
        <w:t>2015</w:t>
      </w:r>
    </w:p>
    <w:p w:rsidR="000F5BCF" w:rsidRPr="00847A97" w:rsidRDefault="000F5BCF" w:rsidP="001467DF"/>
    <w:p w:rsidR="000F5BCF" w:rsidRPr="00847A97" w:rsidRDefault="000F5BCF" w:rsidP="00A55CD7">
      <w:pPr>
        <w:ind w:left="0"/>
      </w:pPr>
    </w:p>
    <w:p w:rsidR="00837D3D" w:rsidRPr="00A55CD7" w:rsidRDefault="00837D3D" w:rsidP="001467DF">
      <w:pPr>
        <w:ind w:left="0"/>
        <w:rPr>
          <w:b/>
        </w:rPr>
      </w:pPr>
      <w:bookmarkStart w:id="21" w:name="_Toc411420009"/>
      <w:bookmarkStart w:id="22" w:name="_Toc411850374"/>
      <w:bookmarkStart w:id="23" w:name="_Toc411850440"/>
      <w:bookmarkStart w:id="24" w:name="_Toc412039634"/>
      <w:bookmarkStart w:id="25" w:name="_Toc413770878"/>
      <w:bookmarkStart w:id="26" w:name="_Toc413851263"/>
      <w:r w:rsidRPr="00A55CD7">
        <w:rPr>
          <w:b/>
        </w:rPr>
        <w:t>APS Contacts:</w:t>
      </w:r>
      <w:bookmarkEnd w:id="21"/>
      <w:bookmarkEnd w:id="22"/>
      <w:bookmarkEnd w:id="23"/>
      <w:bookmarkEnd w:id="24"/>
      <w:bookmarkEnd w:id="25"/>
      <w:bookmarkEnd w:id="26"/>
      <w:r w:rsidRPr="00A55CD7">
        <w:rPr>
          <w:b/>
        </w:rPr>
        <w:t xml:space="preserve"> </w:t>
      </w:r>
    </w:p>
    <w:p w:rsidR="00837D3D" w:rsidRPr="00847A97" w:rsidRDefault="00837D3D" w:rsidP="001467DF">
      <w:pPr>
        <w:ind w:left="0"/>
      </w:pPr>
      <w:bookmarkStart w:id="27" w:name="_Toc411420010"/>
      <w:bookmarkStart w:id="28" w:name="_Toc411850375"/>
      <w:bookmarkStart w:id="29" w:name="_Toc411850441"/>
      <w:bookmarkStart w:id="30" w:name="_Toc412039635"/>
      <w:bookmarkStart w:id="31" w:name="_Toc413770879"/>
      <w:bookmarkStart w:id="32" w:name="_Toc413851264"/>
      <w:r w:rsidRPr="00847A97">
        <w:t>Professor Lyn Littlefield, OAM FAPS</w:t>
      </w:r>
      <w:bookmarkEnd w:id="27"/>
      <w:bookmarkEnd w:id="28"/>
      <w:bookmarkEnd w:id="29"/>
      <w:bookmarkEnd w:id="30"/>
      <w:bookmarkEnd w:id="31"/>
      <w:bookmarkEnd w:id="32"/>
    </w:p>
    <w:p w:rsidR="00837D3D" w:rsidRPr="00847A97" w:rsidRDefault="00837D3D" w:rsidP="001467DF">
      <w:pPr>
        <w:ind w:left="0"/>
      </w:pPr>
      <w:bookmarkStart w:id="33" w:name="_Toc411420011"/>
      <w:bookmarkStart w:id="34" w:name="_Toc411850376"/>
      <w:bookmarkStart w:id="35" w:name="_Toc411850442"/>
      <w:bookmarkStart w:id="36" w:name="_Toc412039636"/>
      <w:bookmarkStart w:id="37" w:name="_Toc413770880"/>
      <w:bookmarkStart w:id="38" w:name="_Toc413851265"/>
      <w:r w:rsidRPr="00847A97">
        <w:t>Executive Director</w:t>
      </w:r>
      <w:bookmarkEnd w:id="33"/>
      <w:bookmarkEnd w:id="34"/>
      <w:bookmarkEnd w:id="35"/>
      <w:bookmarkEnd w:id="36"/>
      <w:bookmarkEnd w:id="37"/>
      <w:bookmarkEnd w:id="38"/>
    </w:p>
    <w:p w:rsidR="00837D3D" w:rsidRDefault="00147252" w:rsidP="001467DF">
      <w:pPr>
        <w:ind w:left="0"/>
      </w:pPr>
      <w:hyperlink r:id="rId9" w:history="1">
        <w:bookmarkStart w:id="39" w:name="_Toc411420012"/>
        <w:bookmarkStart w:id="40" w:name="_Toc411850377"/>
        <w:bookmarkStart w:id="41" w:name="_Toc411850443"/>
        <w:bookmarkStart w:id="42" w:name="_Toc412039637"/>
        <w:bookmarkStart w:id="43" w:name="_Toc413770881"/>
        <w:bookmarkStart w:id="44" w:name="_Toc413851266"/>
        <w:r w:rsidR="00837D3D" w:rsidRPr="00847A97">
          <w:rPr>
            <w:rStyle w:val="Hyperlink"/>
          </w:rPr>
          <w:t>l.littlefield@psychology.org.au</w:t>
        </w:r>
        <w:bookmarkEnd w:id="39"/>
        <w:bookmarkEnd w:id="40"/>
        <w:bookmarkEnd w:id="41"/>
        <w:bookmarkEnd w:id="42"/>
        <w:bookmarkEnd w:id="43"/>
        <w:bookmarkEnd w:id="44"/>
      </w:hyperlink>
      <w:r w:rsidR="00837D3D" w:rsidRPr="00847A97">
        <w:t xml:space="preserve">   </w:t>
      </w:r>
    </w:p>
    <w:p w:rsidR="00F83025" w:rsidRDefault="00F83025" w:rsidP="00F83025">
      <w:pPr>
        <w:ind w:left="0"/>
      </w:pPr>
    </w:p>
    <w:p w:rsidR="00F83025" w:rsidRDefault="00F83025" w:rsidP="00F83025">
      <w:pPr>
        <w:ind w:left="0"/>
      </w:pPr>
      <w:r>
        <w:t>Dr Sabine Hammond, FAPS</w:t>
      </w:r>
    </w:p>
    <w:p w:rsidR="00F83025" w:rsidRDefault="00F83025" w:rsidP="00F83025">
      <w:pPr>
        <w:ind w:left="0"/>
      </w:pPr>
      <w:r>
        <w:t>Executive Manager, Science, Education and Membership</w:t>
      </w:r>
    </w:p>
    <w:p w:rsidR="00837D3D" w:rsidRDefault="00147252" w:rsidP="00F83025">
      <w:pPr>
        <w:ind w:left="0"/>
        <w:rPr>
          <w:rStyle w:val="Hyperlink"/>
          <w:rFonts w:cstheme="minorBidi"/>
        </w:rPr>
      </w:pPr>
      <w:hyperlink r:id="rId10" w:history="1">
        <w:r w:rsidR="00F83025" w:rsidRPr="00B25B13">
          <w:rPr>
            <w:rStyle w:val="Hyperlink"/>
            <w:rFonts w:cstheme="minorBidi"/>
          </w:rPr>
          <w:t>s.hammond@psychology.org.au</w:t>
        </w:r>
      </w:hyperlink>
    </w:p>
    <w:p w:rsidR="00A55CD7" w:rsidRDefault="00A55CD7" w:rsidP="00F83025">
      <w:pPr>
        <w:ind w:left="0"/>
        <w:rPr>
          <w:rStyle w:val="Hyperlink"/>
          <w:rFonts w:cstheme="minorBidi"/>
        </w:rPr>
      </w:pPr>
    </w:p>
    <w:p w:rsidR="00A55CD7" w:rsidRPr="00A55CD7" w:rsidRDefault="00A55CD7" w:rsidP="00A55CD7">
      <w:pPr>
        <w:ind w:left="0"/>
        <w:rPr>
          <w:b/>
        </w:rPr>
      </w:pPr>
      <w:r w:rsidRPr="00A55CD7">
        <w:rPr>
          <w:b/>
        </w:rPr>
        <w:t>APS College Contacts:</w:t>
      </w:r>
    </w:p>
    <w:p w:rsidR="00A55CD7" w:rsidRPr="000C2304" w:rsidRDefault="00A55CD7" w:rsidP="00A55CD7">
      <w:pPr>
        <w:ind w:left="0"/>
      </w:pPr>
      <w:r w:rsidRPr="000C2304">
        <w:t>Professor Simon Crowe (C</w:t>
      </w:r>
      <w:r>
        <w:t>linical Neuropsychology</w:t>
      </w:r>
      <w:r w:rsidRPr="000C2304">
        <w:t xml:space="preserve">) </w:t>
      </w:r>
      <w:hyperlink r:id="rId11" w:history="1">
        <w:r w:rsidRPr="000C2304">
          <w:rPr>
            <w:rStyle w:val="Hyperlink"/>
          </w:rPr>
          <w:t>s.crowe@latrobe.edu.au</w:t>
        </w:r>
      </w:hyperlink>
    </w:p>
    <w:p w:rsidR="00A55CD7" w:rsidRDefault="00A55CD7" w:rsidP="00A55CD7">
      <w:pPr>
        <w:ind w:left="0"/>
        <w:rPr>
          <w:rFonts w:cs="Segoe UI"/>
          <w:color w:val="000000"/>
        </w:rPr>
      </w:pPr>
      <w:r>
        <w:t>Ms Ros Knight (Clinical</w:t>
      </w:r>
      <w:r w:rsidRPr="000C2304">
        <w:t xml:space="preserve">) </w:t>
      </w:r>
      <w:hyperlink r:id="rId12" w:history="1">
        <w:r w:rsidRPr="000C2304">
          <w:rPr>
            <w:rStyle w:val="Hyperlink"/>
            <w:rFonts w:cs="Segoe UI"/>
          </w:rPr>
          <w:t>ros.knight@mq.edu.au</w:t>
        </w:r>
      </w:hyperlink>
    </w:p>
    <w:p w:rsidR="00A55CD7" w:rsidRPr="008C56C8" w:rsidRDefault="00A55CD7" w:rsidP="00A55CD7">
      <w:pPr>
        <w:ind w:left="0"/>
        <w:rPr>
          <w:rFonts w:cs="Segoe UI"/>
          <w:color w:val="000000"/>
        </w:rPr>
      </w:pPr>
      <w:r>
        <w:rPr>
          <w:rFonts w:cs="Segoe UI"/>
          <w:color w:val="000000"/>
        </w:rPr>
        <w:t xml:space="preserve">Professor </w:t>
      </w:r>
      <w:r>
        <w:t>Jenny Sharples (Community</w:t>
      </w:r>
      <w:r w:rsidRPr="000C2304">
        <w:t xml:space="preserve">) </w:t>
      </w:r>
      <w:hyperlink r:id="rId13" w:history="1">
        <w:r w:rsidRPr="0014067F">
          <w:rPr>
            <w:rStyle w:val="Hyperlink"/>
            <w:rFonts w:cs="Calibri"/>
          </w:rPr>
          <w:t>jenny.sharples@vu.edu.au</w:t>
        </w:r>
      </w:hyperlink>
    </w:p>
    <w:p w:rsidR="00A55CD7" w:rsidRDefault="00A55CD7" w:rsidP="00A55CD7">
      <w:pPr>
        <w:ind w:left="0"/>
        <w:rPr>
          <w:rFonts w:cs="Calibri"/>
        </w:rPr>
      </w:pPr>
      <w:r>
        <w:rPr>
          <w:rFonts w:cs="Calibri"/>
          <w:color w:val="000000"/>
        </w:rPr>
        <w:t xml:space="preserve">Mr Michael Di Mattia (Counselling) </w:t>
      </w:r>
      <w:hyperlink r:id="rId14" w:history="1">
        <w:r w:rsidRPr="0014067F">
          <w:rPr>
            <w:rStyle w:val="Hyperlink"/>
            <w:rFonts w:cs="Calibri"/>
          </w:rPr>
          <w:t>michael@michaeldimattia.org</w:t>
        </w:r>
      </w:hyperlink>
    </w:p>
    <w:p w:rsidR="00A55CD7" w:rsidRDefault="00A55CD7" w:rsidP="00A55CD7">
      <w:pPr>
        <w:ind w:left="0"/>
      </w:pPr>
      <w:r>
        <w:rPr>
          <w:rFonts w:cs="Calibri"/>
          <w:color w:val="000000"/>
        </w:rPr>
        <w:t xml:space="preserve">Dr John Roodenburg (Educational and Developmental) </w:t>
      </w:r>
      <w:hyperlink r:id="rId15" w:history="1">
        <w:r w:rsidRPr="0014067F">
          <w:rPr>
            <w:rStyle w:val="Hyperlink"/>
            <w:rFonts w:cs="Calibri"/>
          </w:rPr>
          <w:t>john.roodenburg@monash.edu</w:t>
        </w:r>
      </w:hyperlink>
    </w:p>
    <w:p w:rsidR="00A55CD7" w:rsidRPr="000C2304" w:rsidRDefault="00A55CD7" w:rsidP="00A55CD7">
      <w:pPr>
        <w:ind w:left="0"/>
        <w:rPr>
          <w:rFonts w:cs="Calibri"/>
          <w:color w:val="000000"/>
        </w:rPr>
      </w:pPr>
      <w:r>
        <w:rPr>
          <w:rFonts w:cs="Calibri"/>
          <w:color w:val="000000"/>
        </w:rPr>
        <w:t>Dr Gavan Palk (Forensic</w:t>
      </w:r>
      <w:r w:rsidRPr="000C2304">
        <w:rPr>
          <w:rFonts w:cs="Calibri"/>
          <w:color w:val="000000"/>
        </w:rPr>
        <w:t xml:space="preserve">) </w:t>
      </w:r>
      <w:hyperlink r:id="rId16" w:history="1">
        <w:r w:rsidRPr="000C2304">
          <w:rPr>
            <w:rStyle w:val="Hyperlink"/>
            <w:rFonts w:cs="Calibri"/>
          </w:rPr>
          <w:t>gavan.palk@qut.edu.au</w:t>
        </w:r>
      </w:hyperlink>
    </w:p>
    <w:p w:rsidR="00A55CD7" w:rsidRPr="000C2304" w:rsidRDefault="00A55CD7" w:rsidP="00A55CD7">
      <w:pPr>
        <w:ind w:left="0"/>
        <w:rPr>
          <w:rFonts w:cs="Calibri"/>
          <w:color w:val="000000"/>
        </w:rPr>
      </w:pPr>
      <w:r>
        <w:rPr>
          <w:rFonts w:cs="Calibri"/>
          <w:color w:val="000000"/>
        </w:rPr>
        <w:t>Dr Esben Strodl (Health</w:t>
      </w:r>
      <w:r w:rsidRPr="000C2304">
        <w:rPr>
          <w:rFonts w:cs="Calibri"/>
          <w:color w:val="000000"/>
        </w:rPr>
        <w:t xml:space="preserve">) </w:t>
      </w:r>
      <w:hyperlink r:id="rId17" w:history="1">
        <w:r w:rsidRPr="0014067F">
          <w:rPr>
            <w:rStyle w:val="Hyperlink"/>
            <w:rFonts w:cs="Calibri"/>
          </w:rPr>
          <w:t>e.strodl@qut.edu.au</w:t>
        </w:r>
      </w:hyperlink>
    </w:p>
    <w:p w:rsidR="00A55CD7" w:rsidRDefault="00A55CD7" w:rsidP="00A55CD7">
      <w:pPr>
        <w:ind w:left="0"/>
      </w:pPr>
      <w:r>
        <w:rPr>
          <w:rFonts w:cs="Calibri"/>
          <w:color w:val="000000"/>
        </w:rPr>
        <w:t>Dr Tim Bednall (Organisational</w:t>
      </w:r>
      <w:r w:rsidRPr="000C2304">
        <w:rPr>
          <w:rFonts w:cs="Calibri"/>
          <w:color w:val="000000"/>
        </w:rPr>
        <w:t xml:space="preserve">) </w:t>
      </w:r>
      <w:hyperlink r:id="rId18" w:history="1">
        <w:r w:rsidRPr="0014067F">
          <w:rPr>
            <w:rStyle w:val="Hyperlink"/>
            <w:rFonts w:cs="Calibri"/>
          </w:rPr>
          <w:t>tbednall@gmail.com</w:t>
        </w:r>
      </w:hyperlink>
    </w:p>
    <w:p w:rsidR="00A55CD7" w:rsidRDefault="00A55CD7" w:rsidP="00A55CD7">
      <w:pPr>
        <w:ind w:left="0"/>
        <w:rPr>
          <w:rFonts w:cs="Calibri"/>
        </w:rPr>
      </w:pPr>
      <w:r>
        <w:rPr>
          <w:rFonts w:cs="Calibri"/>
          <w:color w:val="000000"/>
        </w:rPr>
        <w:t xml:space="preserve">Mr </w:t>
      </w:r>
      <w:r w:rsidRPr="000C2304">
        <w:rPr>
          <w:rFonts w:cs="Calibri"/>
          <w:color w:val="000000"/>
        </w:rPr>
        <w:t xml:space="preserve">Shayne Hanks </w:t>
      </w:r>
      <w:r>
        <w:rPr>
          <w:rFonts w:cs="Calibri"/>
          <w:color w:val="000000"/>
        </w:rPr>
        <w:t xml:space="preserve">(Sports and Exercise) </w:t>
      </w:r>
      <w:hyperlink r:id="rId19" w:history="1">
        <w:r w:rsidRPr="0014067F">
          <w:rPr>
            <w:rStyle w:val="Hyperlink"/>
            <w:rFonts w:cs="Calibri"/>
          </w:rPr>
          <w:t>shaynehanks@gmail.com</w:t>
        </w:r>
      </w:hyperlink>
    </w:p>
    <w:p w:rsidR="00A55CD7" w:rsidRDefault="00A55CD7" w:rsidP="00F83025">
      <w:pPr>
        <w:ind w:left="0"/>
      </w:pPr>
    </w:p>
    <w:p w:rsidR="00F83025" w:rsidRPr="00847A97" w:rsidRDefault="00F83025" w:rsidP="00F83025">
      <w:pPr>
        <w:ind w:left="0"/>
      </w:pPr>
    </w:p>
    <w:p w:rsidR="00837D3D" w:rsidRDefault="00837D3D" w:rsidP="001467DF">
      <w:pPr>
        <w:ind w:left="0"/>
        <w:rPr>
          <w:rStyle w:val="Hyperlink"/>
          <w:rFonts w:cstheme="minorBidi"/>
        </w:rPr>
      </w:pPr>
    </w:p>
    <w:p w:rsidR="00A55CD7" w:rsidRDefault="00A55CD7" w:rsidP="00F83025">
      <w:pPr>
        <w:pStyle w:val="Heading1"/>
        <w:rPr>
          <w:rStyle w:val="Hyperlink"/>
          <w:rFonts w:cstheme="minorBidi"/>
          <w:b w:val="0"/>
        </w:rPr>
      </w:pPr>
      <w:bookmarkStart w:id="45" w:name="_Toc413851281"/>
    </w:p>
    <w:p w:rsidR="00F83025" w:rsidRPr="00F83025" w:rsidRDefault="00F83025" w:rsidP="00F83025">
      <w:pPr>
        <w:pStyle w:val="Heading1"/>
        <w:rPr>
          <w:rFonts w:eastAsiaTheme="minorHAnsi"/>
          <w:i/>
          <w:lang w:val="en-AU" w:bidi="ar-SA"/>
        </w:rPr>
      </w:pPr>
      <w:r w:rsidRPr="00F83025">
        <w:rPr>
          <w:rFonts w:eastAsiaTheme="minorHAnsi"/>
          <w:i/>
          <w:lang w:val="en-AU" w:bidi="ar-SA"/>
        </w:rPr>
        <w:lastRenderedPageBreak/>
        <w:t>Recommendations</w:t>
      </w:r>
    </w:p>
    <w:p w:rsidR="00F83025" w:rsidRDefault="00F83025" w:rsidP="00F83025">
      <w:pPr>
        <w:pStyle w:val="Heading1"/>
        <w:ind w:left="360"/>
        <w:rPr>
          <w:rFonts w:eastAsiaTheme="minorHAnsi"/>
          <w:b w:val="0"/>
          <w:i/>
          <w:lang w:val="en-AU" w:bidi="ar-SA"/>
        </w:rPr>
      </w:pPr>
    </w:p>
    <w:p w:rsidR="00F83025" w:rsidRDefault="00F83025" w:rsidP="00BD5913">
      <w:pPr>
        <w:pStyle w:val="Heading1"/>
        <w:rPr>
          <w:rFonts w:eastAsiaTheme="minorHAnsi"/>
          <w:b w:val="0"/>
          <w:lang w:val="en-AU" w:bidi="ar-SA"/>
        </w:rPr>
      </w:pPr>
      <w:r w:rsidRPr="00F83025">
        <w:rPr>
          <w:rFonts w:eastAsiaTheme="minorHAnsi"/>
          <w:b w:val="0"/>
          <w:lang w:val="en-AU" w:bidi="ar-SA"/>
        </w:rPr>
        <w:t>The Australian Psychological Society (APS) recommends the following:</w:t>
      </w:r>
    </w:p>
    <w:p w:rsidR="00BD5913" w:rsidRPr="00BD5913" w:rsidRDefault="00BD5913" w:rsidP="00BD5913">
      <w:pPr>
        <w:ind w:left="0"/>
        <w:rPr>
          <w:lang w:val="en-AU" w:bidi="ar-SA"/>
        </w:rPr>
      </w:pPr>
    </w:p>
    <w:p w:rsidR="00F83025" w:rsidRPr="007913F4" w:rsidRDefault="00F83025" w:rsidP="00BD5913">
      <w:pPr>
        <w:pStyle w:val="Heading1"/>
        <w:numPr>
          <w:ilvl w:val="0"/>
          <w:numId w:val="40"/>
        </w:numPr>
        <w:ind w:left="360"/>
        <w:rPr>
          <w:rFonts w:eastAsiaTheme="minorHAnsi"/>
          <w:b w:val="0"/>
          <w:lang w:val="en-AU" w:bidi="ar-SA"/>
        </w:rPr>
      </w:pPr>
      <w:r w:rsidRPr="007913F4">
        <w:rPr>
          <w:rFonts w:eastAsiaTheme="minorHAnsi"/>
          <w:b w:val="0"/>
          <w:lang w:val="en-AU" w:bidi="ar-SA"/>
        </w:rPr>
        <w:t>With respect to the two options offered by the Psychology Board of Australia (PsyBA), the APS choses Option 1, to continue the existing higher degree exemption from sitting the national psychology exam for another three years.</w:t>
      </w:r>
    </w:p>
    <w:p w:rsidR="00F83025" w:rsidRPr="007913F4" w:rsidRDefault="00F83025" w:rsidP="00BD5913">
      <w:pPr>
        <w:pStyle w:val="Heading1"/>
        <w:ind w:left="-360"/>
        <w:rPr>
          <w:rFonts w:eastAsiaTheme="minorHAnsi"/>
          <w:b w:val="0"/>
          <w:lang w:val="en-AU" w:bidi="ar-SA"/>
        </w:rPr>
      </w:pPr>
    </w:p>
    <w:p w:rsidR="00F83025" w:rsidRDefault="007913F4" w:rsidP="00BD5913">
      <w:pPr>
        <w:pStyle w:val="Heading1"/>
        <w:numPr>
          <w:ilvl w:val="0"/>
          <w:numId w:val="40"/>
        </w:numPr>
        <w:ind w:left="360"/>
        <w:rPr>
          <w:rFonts w:eastAsiaTheme="minorHAnsi"/>
          <w:b w:val="0"/>
          <w:lang w:val="en-AU" w:bidi="ar-SA"/>
        </w:rPr>
      </w:pPr>
      <w:r w:rsidRPr="007913F4">
        <w:rPr>
          <w:rFonts w:eastAsiaTheme="minorHAnsi"/>
          <w:b w:val="0"/>
          <w:lang w:val="en-AU" w:bidi="ar-SA"/>
        </w:rPr>
        <w:t>Consider Option 3: That the PsyBA</w:t>
      </w:r>
      <w:r w:rsidR="00F83025" w:rsidRPr="007913F4">
        <w:rPr>
          <w:rFonts w:eastAsiaTheme="minorHAnsi"/>
          <w:b w:val="0"/>
          <w:lang w:val="en-AU" w:bidi="ar-SA"/>
        </w:rPr>
        <w:t xml:space="preserve"> endorse a third option, that is, to refrain from requiring any higher degree graduate of a master or doctor of psychology program in any of the nine areas of practice recognised by the Board. That the PsyBA acknowledge the extensive assessment in those programs and explicitly exclude this pathway from the examination as competence is extensively assessed.</w:t>
      </w:r>
    </w:p>
    <w:p w:rsidR="00BD5913" w:rsidRPr="00BD5913" w:rsidRDefault="00BD5913" w:rsidP="00BD5913">
      <w:pPr>
        <w:rPr>
          <w:lang w:val="en-AU" w:bidi="ar-SA"/>
        </w:rPr>
      </w:pPr>
    </w:p>
    <w:p w:rsidR="007913F4" w:rsidRDefault="007913F4" w:rsidP="000638BE">
      <w:pPr>
        <w:pStyle w:val="Heading1"/>
      </w:pPr>
    </w:p>
    <w:p w:rsidR="000638BE" w:rsidRPr="000638BE" w:rsidRDefault="00373A5C" w:rsidP="000638BE">
      <w:pPr>
        <w:pStyle w:val="Heading1"/>
      </w:pPr>
      <w:r w:rsidRPr="00936869">
        <w:t>Introduction</w:t>
      </w:r>
      <w:bookmarkEnd w:id="45"/>
    </w:p>
    <w:p w:rsidR="00F83025" w:rsidRPr="00F83025" w:rsidRDefault="00F83025" w:rsidP="00F83025">
      <w:pPr>
        <w:autoSpaceDE/>
        <w:autoSpaceDN/>
        <w:adjustRightInd/>
        <w:spacing w:before="120" w:after="120"/>
        <w:ind w:left="0"/>
        <w:contextualSpacing w:val="0"/>
        <w:mirrorIndents/>
        <w:outlineLvl w:val="9"/>
        <w:rPr>
          <w:rFonts w:eastAsiaTheme="minorHAnsi"/>
          <w:lang w:val="en-AU" w:bidi="ar-SA"/>
        </w:rPr>
      </w:pPr>
      <w:r w:rsidRPr="00F83025">
        <w:rPr>
          <w:rFonts w:eastAsiaTheme="minorHAnsi"/>
          <w:lang w:val="en-AU" w:bidi="ar-SA"/>
        </w:rPr>
        <w:t xml:space="preserve">The </w:t>
      </w:r>
      <w:r w:rsidR="000638BE">
        <w:rPr>
          <w:rFonts w:eastAsiaTheme="minorHAnsi"/>
          <w:lang w:val="en-AU" w:bidi="ar-SA"/>
        </w:rPr>
        <w:t xml:space="preserve">APS </w:t>
      </w:r>
      <w:r w:rsidRPr="00F83025">
        <w:rPr>
          <w:rFonts w:eastAsiaTheme="minorHAnsi"/>
          <w:lang w:val="en-AU" w:bidi="ar-SA"/>
        </w:rPr>
        <w:t xml:space="preserve">welcomes the opportunity to comment on the Psychology Board of Australia </w:t>
      </w:r>
      <w:r w:rsidRPr="000638BE">
        <w:rPr>
          <w:rFonts w:eastAsiaTheme="minorHAnsi"/>
          <w:i/>
          <w:lang w:val="en-AU" w:bidi="ar-SA"/>
        </w:rPr>
        <w:t>Public Consultation Paper 25, Consultation on ending the higher degree exemption from sitting the National Psychology Exam.</w:t>
      </w:r>
    </w:p>
    <w:p w:rsidR="00F83025" w:rsidRPr="00F83025" w:rsidRDefault="00F83025" w:rsidP="00F83025">
      <w:pPr>
        <w:autoSpaceDE/>
        <w:autoSpaceDN/>
        <w:adjustRightInd/>
        <w:spacing w:before="120" w:after="120"/>
        <w:ind w:left="0"/>
        <w:contextualSpacing w:val="0"/>
        <w:mirrorIndents/>
        <w:outlineLvl w:val="9"/>
        <w:rPr>
          <w:rFonts w:eastAsiaTheme="minorHAnsi"/>
          <w:lang w:val="en-AU" w:bidi="ar-SA"/>
        </w:rPr>
      </w:pPr>
      <w:r w:rsidRPr="00F83025">
        <w:rPr>
          <w:rFonts w:eastAsiaTheme="minorHAnsi"/>
          <w:lang w:val="en-AU" w:bidi="ar-SA"/>
        </w:rPr>
        <w:t>The APS is the peak national professional association for psychologists with over 22,000 members. The APS has had a longstanding role in setting national standards for psychology education and training and has close relationships with the schools and departments of psychology in Australia’s higher education sector and with the Head of Department and School of Psychology Association (HoDSPA). The APS has nine Colleges that represent nine areas of practice and specific expertise in professional psychology (Clinical Neuropsychology, Clinical Psychology, Community Psychology, Counselling Psychology, Educational and Developmental Psychology, Forensic Psychology, Health Psychology, Organisational Psychology, and Sports and Exercise Psychology). The APS provides quality assurance and oversight of professional training standards via its College Course Approvals process, conducted in parallel with the APAC accreditation process of postgraduate programs.</w:t>
      </w:r>
    </w:p>
    <w:p w:rsidR="00F83025" w:rsidRDefault="00F83025" w:rsidP="00F83025">
      <w:pPr>
        <w:autoSpaceDE/>
        <w:autoSpaceDN/>
        <w:adjustRightInd/>
        <w:spacing w:before="120" w:after="120"/>
        <w:ind w:left="0"/>
        <w:contextualSpacing w:val="0"/>
        <w:mirrorIndents/>
        <w:outlineLvl w:val="9"/>
        <w:rPr>
          <w:rFonts w:eastAsiaTheme="minorHAnsi"/>
          <w:lang w:val="en-AU" w:bidi="ar-SA"/>
        </w:rPr>
      </w:pPr>
      <w:r w:rsidRPr="00F83025">
        <w:rPr>
          <w:rFonts w:eastAsiaTheme="minorHAnsi"/>
          <w:lang w:val="en-AU" w:bidi="ar-SA"/>
        </w:rPr>
        <w:t>This submission reaffirms the position of the APS on the national psychology examination. The APS has previously provided feedback to Consultation Papers on Guidelines to the National Psychology Examination (Paper 9 in May 2011 and Paper 18 in 2013). Moreover, the APS College of Organisational Psychologists commented on Consultation Paper 13 in 2012.</w:t>
      </w:r>
    </w:p>
    <w:p w:rsidR="000638BE" w:rsidRDefault="007913F4" w:rsidP="00F83025">
      <w:pPr>
        <w:autoSpaceDE/>
        <w:autoSpaceDN/>
        <w:adjustRightInd/>
        <w:spacing w:before="120" w:after="120"/>
        <w:ind w:left="0"/>
        <w:contextualSpacing w:val="0"/>
        <w:mirrorIndents/>
        <w:outlineLvl w:val="9"/>
        <w:rPr>
          <w:rFonts w:eastAsiaTheme="minorHAnsi"/>
          <w:lang w:val="en-AU" w:bidi="ar-SA"/>
        </w:rPr>
      </w:pPr>
      <w:r w:rsidRPr="007913F4">
        <w:rPr>
          <w:rFonts w:eastAsiaTheme="minorHAnsi"/>
          <w:lang w:val="en-AU" w:bidi="ar-SA"/>
        </w:rPr>
        <w:t>The APS is making this submission in collaboration with its nine Colleges</w:t>
      </w:r>
      <w:r w:rsidR="00A55CD7">
        <w:rPr>
          <w:rFonts w:eastAsiaTheme="minorHAnsi"/>
          <w:lang w:val="en-AU" w:bidi="ar-SA"/>
        </w:rPr>
        <w:t>.</w:t>
      </w:r>
      <w:r w:rsidR="00BD5913">
        <w:rPr>
          <w:rFonts w:eastAsiaTheme="minorHAnsi"/>
          <w:lang w:val="en-AU" w:bidi="ar-SA"/>
        </w:rPr>
        <w:t xml:space="preserve"> </w:t>
      </w:r>
      <w:r w:rsidRPr="007913F4">
        <w:rPr>
          <w:rFonts w:eastAsiaTheme="minorHAnsi"/>
          <w:lang w:val="en-AU" w:bidi="ar-SA"/>
        </w:rPr>
        <w:t>It is anticipated that some Colleges will make individual submissions representing additional unique challenges and issues raised by the national psychology exam for those respective Colleges. Moreover the APS Tests and Testing Reference Group (TTRG) has provided input for this consultation and raised concerns in the APS response to PsyBA Public Consultation Paper 24 (March 2015).</w:t>
      </w:r>
    </w:p>
    <w:p w:rsidR="000638BE" w:rsidRDefault="000638BE" w:rsidP="00F83025">
      <w:pPr>
        <w:autoSpaceDE/>
        <w:autoSpaceDN/>
        <w:adjustRightInd/>
        <w:spacing w:before="120" w:after="120"/>
        <w:ind w:left="0"/>
        <w:contextualSpacing w:val="0"/>
        <w:mirrorIndents/>
        <w:outlineLvl w:val="9"/>
        <w:rPr>
          <w:rFonts w:eastAsiaTheme="minorHAnsi"/>
          <w:lang w:val="en-AU" w:bidi="ar-SA"/>
        </w:rPr>
      </w:pPr>
    </w:p>
    <w:p w:rsidR="000638BE" w:rsidRPr="000638BE" w:rsidRDefault="000638BE" w:rsidP="000638BE">
      <w:pPr>
        <w:autoSpaceDE/>
        <w:autoSpaceDN/>
        <w:adjustRightInd/>
        <w:spacing w:before="120" w:after="120"/>
        <w:ind w:left="0"/>
        <w:contextualSpacing w:val="0"/>
        <w:mirrorIndents/>
        <w:outlineLvl w:val="9"/>
        <w:rPr>
          <w:rFonts w:eastAsiaTheme="minorHAnsi"/>
          <w:b/>
          <w:lang w:val="en-AU" w:bidi="ar-SA"/>
        </w:rPr>
      </w:pPr>
      <w:r w:rsidRPr="000638BE">
        <w:rPr>
          <w:rFonts w:eastAsiaTheme="minorHAnsi"/>
          <w:b/>
          <w:lang w:val="en-AU" w:bidi="ar-SA"/>
        </w:rPr>
        <w:lastRenderedPageBreak/>
        <w:t>Background</w:t>
      </w:r>
    </w:p>
    <w:p w:rsidR="000638BE" w:rsidRPr="000638BE" w:rsidRDefault="000638BE" w:rsidP="000638BE">
      <w:pPr>
        <w:autoSpaceDE/>
        <w:autoSpaceDN/>
        <w:adjustRightInd/>
        <w:spacing w:before="120" w:after="120"/>
        <w:ind w:left="0"/>
        <w:contextualSpacing w:val="0"/>
        <w:mirrorIndents/>
        <w:outlineLvl w:val="9"/>
        <w:rPr>
          <w:rFonts w:eastAsiaTheme="minorHAnsi"/>
          <w:lang w:val="en-AU" w:bidi="ar-SA"/>
        </w:rPr>
      </w:pPr>
      <w:r w:rsidRPr="000638BE">
        <w:rPr>
          <w:rFonts w:eastAsiaTheme="minorHAnsi"/>
          <w:lang w:val="en-AU" w:bidi="ar-SA"/>
        </w:rPr>
        <w:t xml:space="preserve">There has been extensive feedback on consultation papers on the national psychology exam since 2012 (Consultation papers 9, 13, and 18). In these prior submissions, there has been a consistent message by major stakeholders that an exam is not necessary for graduates of the higher degree training pathways for psychologists (e.g., Australian Psychology Accreditation Council, [APAC] Head of Department and School of Psychology Association HoDSPA], The Psychology Foundation of Australia, the APS and individual APS Colleges). </w:t>
      </w:r>
    </w:p>
    <w:p w:rsidR="000638BE" w:rsidRPr="000638BE" w:rsidRDefault="000638BE" w:rsidP="000638BE">
      <w:pPr>
        <w:autoSpaceDE/>
        <w:autoSpaceDN/>
        <w:adjustRightInd/>
        <w:spacing w:before="120" w:after="120"/>
        <w:ind w:left="0"/>
        <w:contextualSpacing w:val="0"/>
        <w:mirrorIndents/>
        <w:outlineLvl w:val="9"/>
        <w:rPr>
          <w:rFonts w:eastAsiaTheme="minorHAnsi"/>
          <w:lang w:val="en-AU" w:bidi="ar-SA"/>
        </w:rPr>
      </w:pPr>
      <w:r w:rsidRPr="000638BE">
        <w:rPr>
          <w:rFonts w:eastAsiaTheme="minorHAnsi"/>
          <w:lang w:val="en-AU" w:bidi="ar-SA"/>
        </w:rPr>
        <w:t xml:space="preserve">These submissions have consistently pointed out concerns about the exam, including its design and content, the examination timetable and location, and cost to provisional psychologists required to take the exam. Prior submissions have also noted that provisional psychologists in the 5+1 pathway will have already been assessed on applied knowledge in their respective programs. </w:t>
      </w:r>
    </w:p>
    <w:p w:rsidR="000638BE" w:rsidRPr="000638BE" w:rsidRDefault="000638BE" w:rsidP="000638BE">
      <w:pPr>
        <w:autoSpaceDE/>
        <w:autoSpaceDN/>
        <w:adjustRightInd/>
        <w:spacing w:before="120" w:after="120"/>
        <w:ind w:left="0"/>
        <w:contextualSpacing w:val="0"/>
        <w:mirrorIndents/>
        <w:outlineLvl w:val="9"/>
        <w:rPr>
          <w:rFonts w:eastAsiaTheme="minorHAnsi"/>
          <w:lang w:val="en-AU" w:bidi="ar-SA"/>
        </w:rPr>
      </w:pPr>
      <w:r w:rsidRPr="000638BE">
        <w:rPr>
          <w:rFonts w:eastAsiaTheme="minorHAnsi"/>
          <w:lang w:val="en-AU" w:bidi="ar-SA"/>
        </w:rPr>
        <w:t>This submission focuses on providing support for Option 1 (or as noted above Option 3, not yet offered by the PsyBA) and we would like to reiterate these major points:</w:t>
      </w:r>
    </w:p>
    <w:p w:rsidR="000638BE" w:rsidRPr="007913F4" w:rsidRDefault="000638BE" w:rsidP="007913F4">
      <w:pPr>
        <w:numPr>
          <w:ilvl w:val="0"/>
          <w:numId w:val="39"/>
        </w:numPr>
        <w:autoSpaceDE/>
        <w:autoSpaceDN/>
        <w:adjustRightInd/>
        <w:spacing w:before="120" w:after="120"/>
        <w:ind w:left="360"/>
        <w:contextualSpacing w:val="0"/>
        <w:mirrorIndents/>
        <w:outlineLvl w:val="9"/>
        <w:rPr>
          <w:rFonts w:eastAsiaTheme="minorHAnsi"/>
          <w:lang w:val="en-AU" w:bidi="ar-SA"/>
        </w:rPr>
      </w:pPr>
      <w:r w:rsidRPr="000638BE">
        <w:rPr>
          <w:rFonts w:eastAsiaTheme="minorHAnsi"/>
          <w:lang w:val="en-AU" w:bidi="ar-SA"/>
        </w:rPr>
        <w:t>The national psychology exam was brought in as part of the process to assure competence to practice so generally registered psychologists following the 4+2 pathway could be assessed more effectively and efficiently than via case studies. This is in response to concerns about the 4+2 training pathway which, when benchmarked internationally, is below the international standards for psychology training.</w:t>
      </w:r>
    </w:p>
    <w:p w:rsidR="000638BE" w:rsidRPr="000638BE" w:rsidRDefault="000638BE" w:rsidP="000638BE">
      <w:pPr>
        <w:numPr>
          <w:ilvl w:val="0"/>
          <w:numId w:val="39"/>
        </w:numPr>
        <w:autoSpaceDE/>
        <w:autoSpaceDN/>
        <w:adjustRightInd/>
        <w:spacing w:before="120" w:after="120"/>
        <w:ind w:left="360"/>
        <w:contextualSpacing w:val="0"/>
        <w:mirrorIndents/>
        <w:outlineLvl w:val="9"/>
        <w:rPr>
          <w:rFonts w:eastAsiaTheme="minorHAnsi"/>
          <w:lang w:val="en-AU" w:bidi="ar-SA"/>
        </w:rPr>
      </w:pPr>
      <w:r w:rsidRPr="000638BE">
        <w:rPr>
          <w:rFonts w:eastAsiaTheme="minorHAnsi"/>
          <w:lang w:val="en-AU" w:bidi="ar-SA"/>
        </w:rPr>
        <w:t>Students in APAC accredited higher degree pathways to registration, especially in the nine areas of practice, are being assessed extensively with a wide range of assessment tools. Students demonstrate their knowledge in assessment tasks that include multiple choice, essay and short answer exams, written class papers, reflective essay, oral presentations, case conference present</w:t>
      </w:r>
      <w:r w:rsidR="001F1A91">
        <w:rPr>
          <w:rFonts w:eastAsiaTheme="minorHAnsi"/>
          <w:lang w:val="en-AU" w:bidi="ar-SA"/>
        </w:rPr>
        <w:t>at</w:t>
      </w:r>
      <w:r w:rsidRPr="000638BE">
        <w:rPr>
          <w:rFonts w:eastAsiaTheme="minorHAnsi"/>
          <w:lang w:val="en-AU" w:bidi="ar-SA"/>
        </w:rPr>
        <w:t xml:space="preserve">ions/case studies. Students’ research knowledge and skills are assessed via additional proposals, research progress and final research presentations, and finally by two or more external examiners that are experts in the field. With respect to the assessment of competence in practical skills, there is in-vivo and recorded observation of performance; with most placements including a mid and final placement evaluation.  </w:t>
      </w:r>
    </w:p>
    <w:p w:rsidR="000638BE" w:rsidRPr="000638BE" w:rsidRDefault="000638BE" w:rsidP="000638BE">
      <w:pPr>
        <w:autoSpaceDE/>
        <w:autoSpaceDN/>
        <w:adjustRightInd/>
        <w:spacing w:before="120" w:after="120"/>
        <w:ind w:left="0"/>
        <w:contextualSpacing w:val="0"/>
        <w:mirrorIndents/>
        <w:outlineLvl w:val="9"/>
        <w:rPr>
          <w:rFonts w:eastAsiaTheme="minorHAnsi"/>
          <w:lang w:val="en-AU" w:bidi="ar-SA"/>
        </w:rPr>
      </w:pPr>
    </w:p>
    <w:p w:rsidR="00225098" w:rsidRDefault="000638BE" w:rsidP="007913F4">
      <w:pPr>
        <w:autoSpaceDE/>
        <w:autoSpaceDN/>
        <w:adjustRightInd/>
        <w:spacing w:before="120" w:after="120"/>
        <w:ind w:left="0"/>
        <w:contextualSpacing w:val="0"/>
        <w:mirrorIndents/>
        <w:outlineLvl w:val="9"/>
        <w:rPr>
          <w:rFonts w:eastAsiaTheme="minorHAnsi"/>
          <w:lang w:val="en-AU" w:bidi="ar-SA"/>
        </w:rPr>
      </w:pPr>
      <w:r w:rsidRPr="000638BE">
        <w:rPr>
          <w:rFonts w:eastAsiaTheme="minorHAnsi"/>
          <w:lang w:val="en-AU" w:bidi="ar-SA"/>
        </w:rPr>
        <w:t>In short, students are assessed extensively throughout their studies, and, consistent with current assessment principles, with a range of assessment techniques. In our view, the assessment of competence of higher degree coursework, research and practicum by higher education providers vastly exceeds and is clearly superior to assessment as part of a one-time multiple choice exam.</w:t>
      </w:r>
    </w:p>
    <w:p w:rsidR="00A55CD7" w:rsidRDefault="00A55CD7" w:rsidP="007913F4">
      <w:pPr>
        <w:autoSpaceDE/>
        <w:autoSpaceDN/>
        <w:adjustRightInd/>
        <w:spacing w:before="120" w:after="120"/>
        <w:ind w:left="0"/>
        <w:contextualSpacing w:val="0"/>
        <w:mirrorIndents/>
        <w:outlineLvl w:val="9"/>
        <w:rPr>
          <w:rFonts w:eastAsiaTheme="minorHAnsi"/>
          <w:lang w:val="en-AU" w:bidi="ar-SA"/>
        </w:rPr>
      </w:pPr>
    </w:p>
    <w:p w:rsidR="00A55CD7" w:rsidRDefault="00A55CD7" w:rsidP="007913F4">
      <w:pPr>
        <w:autoSpaceDE/>
        <w:autoSpaceDN/>
        <w:adjustRightInd/>
        <w:spacing w:before="120" w:after="120"/>
        <w:ind w:left="0"/>
        <w:contextualSpacing w:val="0"/>
        <w:mirrorIndents/>
        <w:outlineLvl w:val="9"/>
        <w:rPr>
          <w:rFonts w:eastAsiaTheme="minorHAnsi"/>
          <w:lang w:val="en-AU" w:bidi="ar-SA"/>
        </w:rPr>
      </w:pPr>
    </w:p>
    <w:p w:rsidR="00A55CD7" w:rsidRDefault="00A55CD7" w:rsidP="007913F4">
      <w:pPr>
        <w:autoSpaceDE/>
        <w:autoSpaceDN/>
        <w:adjustRightInd/>
        <w:spacing w:before="120" w:after="120"/>
        <w:ind w:left="0"/>
        <w:contextualSpacing w:val="0"/>
        <w:mirrorIndents/>
        <w:outlineLvl w:val="9"/>
        <w:rPr>
          <w:rFonts w:eastAsiaTheme="minorHAnsi"/>
          <w:lang w:val="en-AU" w:bidi="ar-SA"/>
        </w:rPr>
      </w:pPr>
    </w:p>
    <w:p w:rsidR="00A55CD7" w:rsidRDefault="00A55CD7" w:rsidP="007913F4">
      <w:pPr>
        <w:autoSpaceDE/>
        <w:autoSpaceDN/>
        <w:adjustRightInd/>
        <w:spacing w:before="120" w:after="120"/>
        <w:ind w:left="0"/>
        <w:contextualSpacing w:val="0"/>
        <w:mirrorIndents/>
        <w:outlineLvl w:val="9"/>
        <w:rPr>
          <w:rFonts w:eastAsiaTheme="minorHAnsi"/>
          <w:lang w:val="en-AU" w:bidi="ar-SA"/>
        </w:rPr>
      </w:pPr>
    </w:p>
    <w:p w:rsidR="00A55CD7" w:rsidRDefault="00A55CD7" w:rsidP="007913F4">
      <w:pPr>
        <w:autoSpaceDE/>
        <w:autoSpaceDN/>
        <w:adjustRightInd/>
        <w:spacing w:before="120" w:after="120"/>
        <w:ind w:left="0"/>
        <w:contextualSpacing w:val="0"/>
        <w:mirrorIndents/>
        <w:outlineLvl w:val="9"/>
        <w:rPr>
          <w:rFonts w:eastAsiaTheme="minorHAnsi"/>
          <w:lang w:val="en-AU" w:bidi="ar-SA"/>
        </w:rPr>
      </w:pPr>
    </w:p>
    <w:p w:rsidR="00194D2B" w:rsidRPr="00194D2B" w:rsidRDefault="000638BE" w:rsidP="00A55CD7">
      <w:pPr>
        <w:pStyle w:val="ListParagraph"/>
        <w:numPr>
          <w:ilvl w:val="0"/>
          <w:numId w:val="39"/>
        </w:numPr>
        <w:autoSpaceDE/>
        <w:autoSpaceDN/>
        <w:adjustRightInd/>
        <w:spacing w:before="120" w:after="120"/>
        <w:ind w:left="426" w:hanging="426"/>
        <w:contextualSpacing w:val="0"/>
        <w:mirrorIndents/>
        <w:outlineLvl w:val="9"/>
        <w:rPr>
          <w:rFonts w:eastAsiaTheme="minorHAnsi"/>
          <w:lang w:val="en-AU" w:bidi="ar-SA"/>
        </w:rPr>
      </w:pPr>
      <w:r w:rsidRPr="007913F4">
        <w:rPr>
          <w:rFonts w:eastAsiaTheme="minorHAnsi"/>
          <w:lang w:val="en-AU" w:bidi="ar-SA"/>
        </w:rPr>
        <w:lastRenderedPageBreak/>
        <w:t>APAC accreditation and ongoing monitoring of professional postgraduate courses assures:</w:t>
      </w:r>
    </w:p>
    <w:p w:rsidR="00194D2B" w:rsidRPr="00194D2B" w:rsidRDefault="000638BE" w:rsidP="00A55CD7">
      <w:pPr>
        <w:pStyle w:val="ListParagraph"/>
        <w:numPr>
          <w:ilvl w:val="1"/>
          <w:numId w:val="39"/>
        </w:numPr>
        <w:ind w:left="1134"/>
        <w:rPr>
          <w:rFonts w:eastAsiaTheme="minorHAnsi"/>
          <w:lang w:val="en-AU" w:bidi="ar-SA"/>
        </w:rPr>
      </w:pPr>
      <w:r w:rsidRPr="00194D2B">
        <w:rPr>
          <w:rFonts w:eastAsiaTheme="minorHAnsi"/>
          <w:lang w:val="en-AU" w:bidi="ar-SA"/>
        </w:rPr>
        <w:t>A clear framework for higher education providers of knowledge, skills and attitudes that are expected to be demonstrated by their graduates. We note that all courses accredited by APAC must be approved by the Psychology Board.</w:t>
      </w:r>
    </w:p>
    <w:p w:rsidR="00194D2B" w:rsidRPr="00194D2B" w:rsidRDefault="000638BE" w:rsidP="00A55CD7">
      <w:pPr>
        <w:pStyle w:val="ListParagraph"/>
        <w:numPr>
          <w:ilvl w:val="1"/>
          <w:numId w:val="39"/>
        </w:numPr>
        <w:ind w:left="1134"/>
        <w:rPr>
          <w:rFonts w:eastAsiaTheme="minorHAnsi"/>
          <w:lang w:val="en-AU" w:bidi="ar-SA"/>
        </w:rPr>
      </w:pPr>
      <w:r w:rsidRPr="00194D2B">
        <w:rPr>
          <w:rFonts w:eastAsiaTheme="minorHAnsi"/>
          <w:lang w:val="en-AU" w:bidi="ar-SA"/>
        </w:rPr>
        <w:t>Monitoring and auditing of compliance with accreditation standards. This in-depth review of programs as part of the accreditation (and the APS College Assessment) processes includes the rigorousness of assessment of the students. For example, APAC site visitors do review student work samples to assure that there is a high standard.</w:t>
      </w:r>
    </w:p>
    <w:p w:rsidR="00194D2B" w:rsidRPr="00194D2B" w:rsidRDefault="000638BE" w:rsidP="00A55CD7">
      <w:pPr>
        <w:pStyle w:val="ListParagraph"/>
        <w:numPr>
          <w:ilvl w:val="1"/>
          <w:numId w:val="39"/>
        </w:numPr>
        <w:ind w:left="1134"/>
        <w:rPr>
          <w:rFonts w:eastAsiaTheme="minorHAnsi"/>
          <w:lang w:val="en-AU" w:bidi="ar-SA"/>
        </w:rPr>
      </w:pPr>
      <w:r w:rsidRPr="00194D2B">
        <w:rPr>
          <w:rFonts w:eastAsiaTheme="minorHAnsi"/>
          <w:lang w:val="en-AU" w:bidi="ar-SA"/>
        </w:rPr>
        <w:t>Higher education providers benchmark their course content, assessments and outcomes with each other.</w:t>
      </w:r>
    </w:p>
    <w:p w:rsidR="00194D2B" w:rsidRPr="00194D2B" w:rsidRDefault="000638BE" w:rsidP="00A55CD7">
      <w:pPr>
        <w:pStyle w:val="ListParagraph"/>
        <w:numPr>
          <w:ilvl w:val="1"/>
          <w:numId w:val="39"/>
        </w:numPr>
        <w:ind w:left="1134"/>
        <w:rPr>
          <w:rFonts w:eastAsiaTheme="minorHAnsi"/>
          <w:lang w:val="en-AU" w:bidi="ar-SA"/>
        </w:rPr>
      </w:pPr>
      <w:r w:rsidRPr="00194D2B">
        <w:rPr>
          <w:rFonts w:eastAsiaTheme="minorHAnsi"/>
          <w:lang w:val="en-AU" w:bidi="ar-SA"/>
        </w:rPr>
        <w:t>Consistent input from the field (supervisors, employers) via, for example, Course Advisory committees and supervisor assessments.</w:t>
      </w:r>
    </w:p>
    <w:p w:rsidR="00194D2B" w:rsidRPr="00194D2B" w:rsidRDefault="000638BE" w:rsidP="00A55CD7">
      <w:pPr>
        <w:pStyle w:val="ListParagraph"/>
        <w:numPr>
          <w:ilvl w:val="1"/>
          <w:numId w:val="39"/>
        </w:numPr>
        <w:ind w:left="1134"/>
        <w:rPr>
          <w:rFonts w:eastAsiaTheme="minorHAnsi"/>
          <w:lang w:val="en-AU" w:bidi="ar-SA"/>
        </w:rPr>
      </w:pPr>
      <w:r w:rsidRPr="00194D2B">
        <w:rPr>
          <w:rFonts w:eastAsiaTheme="minorHAnsi"/>
          <w:lang w:val="en-AU" w:bidi="ar-SA"/>
        </w:rPr>
        <w:t xml:space="preserve">APAC standards explicitly require that students not be allowed to graduate without formal documented assessment of their competence, proficiency and professionalism in every core capability specified in the standards. </w:t>
      </w:r>
    </w:p>
    <w:p w:rsidR="000638BE" w:rsidRPr="00194D2B" w:rsidRDefault="000638BE" w:rsidP="00194D2B">
      <w:pPr>
        <w:pStyle w:val="ListParagraph"/>
        <w:numPr>
          <w:ilvl w:val="1"/>
          <w:numId w:val="39"/>
        </w:numPr>
        <w:ind w:left="1134"/>
        <w:rPr>
          <w:rFonts w:eastAsiaTheme="minorHAnsi"/>
          <w:lang w:val="en-AU" w:bidi="ar-SA"/>
        </w:rPr>
      </w:pPr>
      <w:r w:rsidRPr="00194D2B">
        <w:rPr>
          <w:rFonts w:eastAsiaTheme="minorHAnsi"/>
          <w:lang w:val="en-AU" w:bidi="ar-SA"/>
        </w:rPr>
        <w:t>The higher degree pathway currently ensures that candidates reach </w:t>
      </w:r>
      <w:r w:rsidRPr="00194D2B">
        <w:rPr>
          <w:rFonts w:eastAsiaTheme="minorHAnsi"/>
          <w:i/>
          <w:iCs/>
          <w:lang w:val="en-AU" w:bidi="ar-SA"/>
        </w:rPr>
        <w:t>at least an equivalent standard of knowledge</w:t>
      </w:r>
      <w:r w:rsidRPr="00194D2B">
        <w:rPr>
          <w:rFonts w:eastAsiaTheme="minorHAnsi"/>
          <w:lang w:val="en-AU" w:bidi="ar-SA"/>
        </w:rPr>
        <w:t> in relation to tests and testing as the national exam.</w:t>
      </w:r>
    </w:p>
    <w:p w:rsidR="000638BE" w:rsidRPr="000638BE" w:rsidRDefault="000638BE" w:rsidP="000638BE">
      <w:pPr>
        <w:autoSpaceDE/>
        <w:autoSpaceDN/>
        <w:adjustRightInd/>
        <w:spacing w:before="120" w:after="120"/>
        <w:ind w:left="-360"/>
        <w:contextualSpacing w:val="0"/>
        <w:mirrorIndents/>
        <w:outlineLvl w:val="9"/>
        <w:rPr>
          <w:rFonts w:eastAsiaTheme="minorHAnsi"/>
          <w:lang w:val="en-AU" w:bidi="ar-SA"/>
        </w:rPr>
      </w:pPr>
    </w:p>
    <w:p w:rsidR="000638BE" w:rsidRPr="00BD5913" w:rsidRDefault="000638BE" w:rsidP="00BD5913">
      <w:pPr>
        <w:pStyle w:val="ListParagraph"/>
        <w:numPr>
          <w:ilvl w:val="0"/>
          <w:numId w:val="39"/>
        </w:numPr>
        <w:autoSpaceDE/>
        <w:autoSpaceDN/>
        <w:adjustRightInd/>
        <w:spacing w:before="120" w:after="120"/>
        <w:contextualSpacing w:val="0"/>
        <w:mirrorIndents/>
        <w:outlineLvl w:val="9"/>
        <w:rPr>
          <w:rFonts w:eastAsiaTheme="minorHAnsi"/>
          <w:lang w:val="en-AU" w:bidi="ar-SA"/>
        </w:rPr>
      </w:pPr>
      <w:r w:rsidRPr="00BD5913">
        <w:rPr>
          <w:rFonts w:eastAsiaTheme="minorHAnsi"/>
          <w:lang w:val="en-AU" w:bidi="ar-SA"/>
        </w:rPr>
        <w:t>The exam poses a risk that higher education providers will include teaching focussed on the content assessed in the national psychology examination rather than using their resources on developing other relevant competencies. The TTRG has previously provided feedback to the PsyBA on a number of matters of concern in relation to the test and testing curriculum for the National Exam (see APS submission to consultation paper 24). The Group is concerned that, should the exemption be lifted, the current practices evident in the curriculum may lead to a ‘dumbing down’ of testing material in postgraduate courses as universities move towards teaching to the National Exam.</w:t>
      </w:r>
    </w:p>
    <w:p w:rsidR="000638BE" w:rsidRPr="000638BE" w:rsidRDefault="000638BE" w:rsidP="007913F4">
      <w:pPr>
        <w:autoSpaceDE/>
        <w:autoSpaceDN/>
        <w:adjustRightInd/>
        <w:spacing w:before="120" w:after="120"/>
        <w:ind w:left="-360"/>
        <w:contextualSpacing w:val="0"/>
        <w:mirrorIndents/>
        <w:outlineLvl w:val="9"/>
        <w:rPr>
          <w:rFonts w:eastAsiaTheme="minorHAnsi"/>
          <w:lang w:val="en-AU" w:bidi="ar-SA"/>
        </w:rPr>
      </w:pPr>
    </w:p>
    <w:p w:rsidR="000638BE" w:rsidRPr="000638BE" w:rsidRDefault="000638BE" w:rsidP="007913F4">
      <w:pPr>
        <w:numPr>
          <w:ilvl w:val="0"/>
          <w:numId w:val="39"/>
        </w:numPr>
        <w:autoSpaceDE/>
        <w:autoSpaceDN/>
        <w:adjustRightInd/>
        <w:spacing w:before="120" w:after="120"/>
        <w:ind w:left="360"/>
        <w:contextualSpacing w:val="0"/>
        <w:mirrorIndents/>
        <w:outlineLvl w:val="9"/>
        <w:rPr>
          <w:rFonts w:eastAsiaTheme="minorHAnsi"/>
          <w:lang w:val="en-AU" w:bidi="ar-SA"/>
        </w:rPr>
      </w:pPr>
      <w:r w:rsidRPr="000638BE">
        <w:rPr>
          <w:rFonts w:eastAsiaTheme="minorHAnsi"/>
          <w:lang w:val="en-AU" w:bidi="ar-SA"/>
        </w:rPr>
        <w:t>Entry to postgraduate professional programs is highly competitive. Higher education providers use rigorous selection processes (including interviews and references). Therefore the cohort of students accepted into these programs is of very high calibre. Adding a further hurdle to achieving general registration after years of study may discourage rather than encourage students to pursue postgraduate professional study in psychology. For a postgraduate</w:t>
      </w:r>
      <w:r w:rsidR="00BD5913">
        <w:rPr>
          <w:rFonts w:eastAsiaTheme="minorHAnsi"/>
          <w:lang w:val="en-AU" w:bidi="ar-SA"/>
        </w:rPr>
        <w:t xml:space="preserve"> student voice</w:t>
      </w:r>
      <w:r w:rsidR="00225098">
        <w:rPr>
          <w:rFonts w:eastAsiaTheme="minorHAnsi"/>
          <w:lang w:val="en-AU" w:bidi="ar-SA"/>
        </w:rPr>
        <w:t>,</w:t>
      </w:r>
      <w:r w:rsidR="00194D2B">
        <w:rPr>
          <w:rFonts w:eastAsiaTheme="minorHAnsi"/>
          <w:lang w:val="en-AU" w:bidi="ar-SA"/>
        </w:rPr>
        <w:t xml:space="preserve"> please</w:t>
      </w:r>
      <w:r w:rsidR="00BD5913">
        <w:rPr>
          <w:rFonts w:eastAsiaTheme="minorHAnsi"/>
          <w:lang w:val="en-AU" w:bidi="ar-SA"/>
        </w:rPr>
        <w:t xml:space="preserve"> see</w:t>
      </w:r>
      <w:r w:rsidR="00225098">
        <w:rPr>
          <w:rFonts w:eastAsiaTheme="minorHAnsi"/>
          <w:lang w:val="en-AU" w:bidi="ar-SA"/>
        </w:rPr>
        <w:t xml:space="preserve"> </w:t>
      </w:r>
      <w:r w:rsidR="00BD5913">
        <w:rPr>
          <w:rFonts w:eastAsiaTheme="minorHAnsi"/>
          <w:lang w:val="en-AU" w:bidi="ar-SA"/>
        </w:rPr>
        <w:t>A</w:t>
      </w:r>
      <w:r w:rsidRPr="000638BE">
        <w:rPr>
          <w:rFonts w:eastAsiaTheme="minorHAnsi"/>
          <w:lang w:val="en-AU" w:bidi="ar-SA"/>
        </w:rPr>
        <w:t>ppendix</w:t>
      </w:r>
      <w:r w:rsidR="00BD5913">
        <w:rPr>
          <w:rFonts w:eastAsiaTheme="minorHAnsi"/>
          <w:lang w:val="en-AU" w:bidi="ar-SA"/>
        </w:rPr>
        <w:t xml:space="preserve"> </w:t>
      </w:r>
      <w:r w:rsidR="00A55CD7">
        <w:rPr>
          <w:rFonts w:eastAsiaTheme="minorHAnsi"/>
          <w:lang w:val="en-AU" w:bidi="ar-SA"/>
        </w:rPr>
        <w:t>1</w:t>
      </w:r>
      <w:r w:rsidRPr="000638BE">
        <w:rPr>
          <w:rFonts w:eastAsiaTheme="minorHAnsi"/>
          <w:lang w:val="en-AU" w:bidi="ar-SA"/>
        </w:rPr>
        <w:t xml:space="preserve">.   </w:t>
      </w:r>
    </w:p>
    <w:p w:rsidR="000638BE" w:rsidRPr="000638BE" w:rsidRDefault="000638BE" w:rsidP="000638BE">
      <w:pPr>
        <w:autoSpaceDE/>
        <w:autoSpaceDN/>
        <w:adjustRightInd/>
        <w:spacing w:before="120" w:after="120"/>
        <w:ind w:left="0"/>
        <w:contextualSpacing w:val="0"/>
        <w:mirrorIndents/>
        <w:outlineLvl w:val="9"/>
        <w:rPr>
          <w:rFonts w:eastAsiaTheme="minorHAnsi"/>
          <w:lang w:val="en-AU" w:bidi="ar-SA"/>
        </w:rPr>
      </w:pPr>
      <w:r w:rsidRPr="000638BE">
        <w:rPr>
          <w:rFonts w:eastAsiaTheme="minorHAnsi"/>
          <w:lang w:val="en-AU" w:bidi="ar-SA"/>
        </w:rPr>
        <w:t> </w:t>
      </w:r>
    </w:p>
    <w:p w:rsidR="000638BE" w:rsidRPr="00A55CD7" w:rsidRDefault="000638BE" w:rsidP="000638BE">
      <w:pPr>
        <w:autoSpaceDE/>
        <w:autoSpaceDN/>
        <w:adjustRightInd/>
        <w:spacing w:before="120" w:after="120"/>
        <w:ind w:left="0"/>
        <w:contextualSpacing w:val="0"/>
        <w:mirrorIndents/>
        <w:outlineLvl w:val="9"/>
        <w:rPr>
          <w:rFonts w:eastAsiaTheme="minorHAnsi"/>
          <w:lang w:val="en-AU" w:bidi="ar-SA"/>
        </w:rPr>
      </w:pPr>
      <w:r w:rsidRPr="000638BE">
        <w:rPr>
          <w:rFonts w:eastAsiaTheme="minorHAnsi"/>
          <w:lang w:val="en-AU" w:bidi="ar-SA"/>
        </w:rPr>
        <w:t>In summary, for the options provided by the PsyBA, the APS and the nine Colleges of the APS strongly oppose Option 2, consider Option 1 (status quo) as acceptable, but propose that the PsyBA consider an Option 3, that is, explicitly exclude the postgraduate professional degree pathway from the n</w:t>
      </w:r>
      <w:r w:rsidR="00A55CD7">
        <w:rPr>
          <w:rFonts w:eastAsiaTheme="minorHAnsi"/>
          <w:lang w:val="en-AU" w:bidi="ar-SA"/>
        </w:rPr>
        <w:t>ational psychology examination.</w:t>
      </w:r>
    </w:p>
    <w:p w:rsidR="00A55CD7" w:rsidRDefault="00A55CD7" w:rsidP="000638BE">
      <w:pPr>
        <w:autoSpaceDE/>
        <w:autoSpaceDN/>
        <w:adjustRightInd/>
        <w:spacing w:before="120" w:after="120"/>
        <w:ind w:left="0"/>
        <w:contextualSpacing w:val="0"/>
        <w:mirrorIndents/>
        <w:outlineLvl w:val="9"/>
        <w:rPr>
          <w:rFonts w:eastAsiaTheme="minorHAnsi"/>
          <w:b/>
          <w:lang w:val="en-AU" w:bidi="ar-SA"/>
        </w:rPr>
      </w:pPr>
    </w:p>
    <w:p w:rsidR="00225098" w:rsidRPr="00225098" w:rsidRDefault="00A55CD7" w:rsidP="000638BE">
      <w:pPr>
        <w:autoSpaceDE/>
        <w:autoSpaceDN/>
        <w:adjustRightInd/>
        <w:spacing w:before="120" w:after="120"/>
        <w:ind w:left="0"/>
        <w:contextualSpacing w:val="0"/>
        <w:mirrorIndents/>
        <w:outlineLvl w:val="9"/>
        <w:rPr>
          <w:rFonts w:eastAsiaTheme="minorHAnsi"/>
          <w:b/>
          <w:lang w:val="en-AU" w:bidi="ar-SA"/>
        </w:rPr>
      </w:pPr>
      <w:r>
        <w:rPr>
          <w:rFonts w:eastAsiaTheme="minorHAnsi"/>
          <w:b/>
          <w:lang w:val="en-AU" w:bidi="ar-SA"/>
        </w:rPr>
        <w:lastRenderedPageBreak/>
        <w:t>Appendix 1</w:t>
      </w:r>
      <w:r w:rsidR="00225098" w:rsidRPr="00A55CD7">
        <w:rPr>
          <w:rFonts w:eastAsiaTheme="minorHAnsi"/>
          <w:b/>
          <w:lang w:val="en-AU" w:bidi="ar-SA"/>
        </w:rPr>
        <w:t>:</w:t>
      </w:r>
    </w:p>
    <w:p w:rsidR="000638BE" w:rsidRPr="000638BE" w:rsidRDefault="000638BE" w:rsidP="000638BE">
      <w:pPr>
        <w:autoSpaceDE/>
        <w:autoSpaceDN/>
        <w:adjustRightInd/>
        <w:spacing w:before="120" w:after="120"/>
        <w:ind w:left="0"/>
        <w:contextualSpacing w:val="0"/>
        <w:mirrorIndents/>
        <w:outlineLvl w:val="9"/>
        <w:rPr>
          <w:rFonts w:eastAsiaTheme="minorHAnsi"/>
          <w:b/>
          <w:lang w:val="en-AU" w:bidi="ar-SA"/>
        </w:rPr>
      </w:pPr>
    </w:p>
    <w:tbl>
      <w:tblPr>
        <w:tblStyle w:val="TableGrid"/>
        <w:tblW w:w="0" w:type="auto"/>
        <w:tblLook w:val="04A0" w:firstRow="1" w:lastRow="0" w:firstColumn="1" w:lastColumn="0" w:noHBand="0" w:noVBand="1"/>
      </w:tblPr>
      <w:tblGrid>
        <w:gridCol w:w="9242"/>
      </w:tblGrid>
      <w:tr w:rsidR="000638BE" w:rsidRPr="000638BE" w:rsidTr="002657D6">
        <w:tc>
          <w:tcPr>
            <w:tcW w:w="9242" w:type="dxa"/>
          </w:tcPr>
          <w:p w:rsidR="000638BE" w:rsidRPr="000638BE" w:rsidRDefault="000638BE" w:rsidP="000638BE">
            <w:pPr>
              <w:autoSpaceDE/>
              <w:autoSpaceDN/>
              <w:adjustRightInd/>
              <w:spacing w:before="120" w:after="120" w:line="276" w:lineRule="auto"/>
              <w:ind w:left="0"/>
              <w:contextualSpacing w:val="0"/>
              <w:mirrorIndents/>
              <w:outlineLvl w:val="9"/>
              <w:rPr>
                <w:rFonts w:eastAsiaTheme="minorHAnsi"/>
                <w:b/>
                <w:lang w:val="en-AU" w:bidi="ar-SA"/>
              </w:rPr>
            </w:pPr>
            <w:r w:rsidRPr="000638BE">
              <w:rPr>
                <w:rFonts w:eastAsiaTheme="minorHAnsi"/>
                <w:b/>
                <w:lang w:val="en-AU" w:bidi="ar-SA"/>
              </w:rPr>
              <w:t>A student voice:</w:t>
            </w:r>
          </w:p>
          <w:p w:rsidR="000638BE" w:rsidRPr="000638BE" w:rsidRDefault="000638BE" w:rsidP="000638BE">
            <w:pPr>
              <w:autoSpaceDE/>
              <w:autoSpaceDN/>
              <w:adjustRightInd/>
              <w:spacing w:before="120" w:after="120" w:line="276" w:lineRule="auto"/>
              <w:ind w:left="0"/>
              <w:contextualSpacing w:val="0"/>
              <w:mirrorIndents/>
              <w:outlineLvl w:val="9"/>
              <w:rPr>
                <w:rFonts w:eastAsiaTheme="minorHAnsi"/>
                <w:b/>
                <w:lang w:val="en-AU" w:bidi="ar-SA"/>
              </w:rPr>
            </w:pPr>
            <w:r w:rsidRPr="000638BE">
              <w:rPr>
                <w:rFonts w:eastAsiaTheme="minorHAnsi"/>
                <w:lang w:val="en-AU" w:bidi="ar-SA"/>
              </w:rPr>
              <w:t>Gaining admission to these programs is highly competitive, and the calibre of the Masters / PhD students is therefore exceptionally high. I started with over 500 first year students, completed Hons with around 50 students, and was then one of 10 students accepted into Masters from over 130 applicants. Only applicants with First Class Hons were interviewed, and even the interview itself required a high level of knowledge of the APS code of ethics as applied to a case scenario, a broad knowledge of the professional requirements of Clinical Psychology, continuing professional development, knowledge of common presenting issues, case conceptualisation, a brief role play etc. The point being that even to gain entry, students needed to demonstrate a high level of competency.</w:t>
            </w:r>
          </w:p>
          <w:p w:rsidR="000638BE" w:rsidRPr="000638BE" w:rsidRDefault="000638BE" w:rsidP="000638BE">
            <w:pPr>
              <w:autoSpaceDE/>
              <w:autoSpaceDN/>
              <w:adjustRightInd/>
              <w:spacing w:before="120" w:after="120" w:line="276" w:lineRule="auto"/>
              <w:ind w:left="0"/>
              <w:contextualSpacing w:val="0"/>
              <w:mirrorIndents/>
              <w:outlineLvl w:val="9"/>
              <w:rPr>
                <w:rFonts w:eastAsiaTheme="minorHAnsi"/>
                <w:b/>
                <w:lang w:val="en-AU" w:bidi="ar-SA"/>
              </w:rPr>
            </w:pPr>
            <w:r w:rsidRPr="000638BE">
              <w:rPr>
                <w:rFonts w:eastAsiaTheme="minorHAnsi"/>
                <w:lang w:val="en-AU" w:bidi="ar-SA"/>
              </w:rPr>
              <w:t xml:space="preserve">Having nearly completed the coursework component of the Masters (with 3 x clinical placements and a thesis still to go), I can attest to the rigour of the program, and the commitment of the staff to ensuring our competence. A handful of examples of what I have undertaken in this course (without listing every seminar and piece of assessment I have attended / completed this year) are: submission of video recordings of role played CBT sessions, and assessments (i.e. the WISC); a full psychological report written to professional standards; a full mental health assessment and report including case formulation, diagnosis, differential diagnosis and treatment plan written to professional standards, a detailed MCQ and SAQ examination on the DSMV; a presentation to both practitioners and a group of ‘clients’ on sleep disorders and CBT for insomnia, and on Monday, we are being put through our paces by way of an observed structured clinical examination (OSCE) in the simulation labs at the medical school, in which we will need to demonstrate (on two separate stations) competence in motivational interviewing skills with a simulated patient. Three staff from the school of psychology will be observing us via video link during this exercise. </w:t>
            </w:r>
          </w:p>
          <w:p w:rsidR="000638BE" w:rsidRPr="000638BE" w:rsidRDefault="000638BE" w:rsidP="000638BE">
            <w:pPr>
              <w:autoSpaceDE/>
              <w:autoSpaceDN/>
              <w:adjustRightInd/>
              <w:spacing w:before="120" w:after="120" w:line="276" w:lineRule="auto"/>
              <w:ind w:left="0"/>
              <w:contextualSpacing w:val="0"/>
              <w:mirrorIndents/>
              <w:outlineLvl w:val="9"/>
              <w:rPr>
                <w:rFonts w:eastAsiaTheme="minorHAnsi"/>
                <w:lang w:val="en-AU" w:bidi="ar-SA"/>
              </w:rPr>
            </w:pPr>
            <w:r w:rsidRPr="000638BE">
              <w:rPr>
                <w:rFonts w:eastAsiaTheme="minorHAnsi"/>
                <w:lang w:val="en-AU" w:bidi="ar-SA"/>
              </w:rPr>
              <w:t>Based on the (very brief and speedily composed) points above, it should be clear that the processes that the national exam seeks to ensure i.e. quality control, competence etc. ARE ALREADY MET - IF NOT EXCEEDED BY higher degree coursework (not to mention placements, supervision and thesis research to come)! I do hope that it is clear that the exam is not only unnecessary for Masters / PhD students (as our competency is assessed in several ways and on several occasions throughout our course of study) but also I feel very unfair - as we will end up doing so much more work / assessment than 4+2 or 5+1 students.</w:t>
            </w:r>
          </w:p>
          <w:p w:rsidR="000638BE" w:rsidRPr="000638BE" w:rsidRDefault="000638BE" w:rsidP="000638BE">
            <w:pPr>
              <w:autoSpaceDE/>
              <w:autoSpaceDN/>
              <w:adjustRightInd/>
              <w:spacing w:before="120" w:after="120" w:line="276" w:lineRule="auto"/>
              <w:ind w:left="0"/>
              <w:contextualSpacing w:val="0"/>
              <w:mirrorIndents/>
              <w:outlineLvl w:val="9"/>
              <w:rPr>
                <w:rFonts w:eastAsiaTheme="minorHAnsi"/>
                <w:b/>
                <w:lang w:val="en-AU" w:bidi="ar-SA"/>
              </w:rPr>
            </w:pPr>
            <w:r w:rsidRPr="000638BE">
              <w:rPr>
                <w:rFonts w:eastAsiaTheme="minorHAnsi"/>
                <w:lang w:val="en-AU" w:bidi="ar-SA"/>
              </w:rPr>
              <w:t>With the cost of the Masters and all the work required and then to contemplate an additional financial cost and time / energy / stress to prepare for yet ANOTHER exam - it wouldn’t surprise me if other pathways become preferable to students and the higher degree courses lose out. This would be a travesty given the calibre of students they attract, and the commitment of teaching staff and clinicians who often volunteer their time to ensure that we are getting the highest possible level of training.</w:t>
            </w:r>
          </w:p>
        </w:tc>
      </w:tr>
    </w:tbl>
    <w:p w:rsidR="00B37F15" w:rsidRDefault="00B37F15" w:rsidP="000638BE">
      <w:pPr>
        <w:pStyle w:val="Heading1"/>
        <w:rPr>
          <w:lang w:val="en-AU" w:bidi="ar-SA"/>
        </w:rPr>
      </w:pPr>
      <w:bookmarkStart w:id="46" w:name="_Toc412039703"/>
      <w:bookmarkEnd w:id="46"/>
    </w:p>
    <w:p w:rsidR="00BD5913" w:rsidRDefault="00BD5913" w:rsidP="00BD5913">
      <w:pPr>
        <w:rPr>
          <w:lang w:val="en-AU" w:bidi="ar-SA"/>
        </w:rPr>
      </w:pPr>
    </w:p>
    <w:p w:rsidR="00BD5913" w:rsidRPr="00BD5913" w:rsidRDefault="00BD5913" w:rsidP="00A55CD7">
      <w:pPr>
        <w:ind w:left="0"/>
        <w:rPr>
          <w:lang w:val="en-AU" w:bidi="ar-SA"/>
        </w:rPr>
      </w:pPr>
    </w:p>
    <w:sectPr w:rsidR="00BD5913" w:rsidRPr="00BD5913">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D42" w:rsidRDefault="004D1D42" w:rsidP="00CA14A1">
      <w:pPr>
        <w:spacing w:before="0" w:line="240" w:lineRule="auto"/>
      </w:pPr>
      <w:r>
        <w:separator/>
      </w:r>
    </w:p>
    <w:p w:rsidR="004D1D42" w:rsidRDefault="004D1D42"/>
    <w:p w:rsidR="004D1D42" w:rsidRDefault="004D1D42" w:rsidP="00936869"/>
  </w:endnote>
  <w:endnote w:type="continuationSeparator" w:id="0">
    <w:p w:rsidR="004D1D42" w:rsidRDefault="004D1D42" w:rsidP="00CA14A1">
      <w:pPr>
        <w:spacing w:before="0" w:line="240" w:lineRule="auto"/>
      </w:pPr>
      <w:r>
        <w:continuationSeparator/>
      </w:r>
    </w:p>
    <w:p w:rsidR="004D1D42" w:rsidRDefault="004D1D42"/>
    <w:p w:rsidR="004D1D42" w:rsidRDefault="004D1D42" w:rsidP="00936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612513"/>
      <w:docPartObj>
        <w:docPartGallery w:val="Page Numbers (Bottom of Page)"/>
        <w:docPartUnique/>
      </w:docPartObj>
    </w:sdtPr>
    <w:sdtEndPr/>
    <w:sdtContent>
      <w:sdt>
        <w:sdtPr>
          <w:id w:val="860082579"/>
          <w:docPartObj>
            <w:docPartGallery w:val="Page Numbers (Top of Page)"/>
            <w:docPartUnique/>
          </w:docPartObj>
        </w:sdtPr>
        <w:sdtEndPr/>
        <w:sdtContent>
          <w:p w:rsidR="00231952" w:rsidRDefault="00231952">
            <w:pPr>
              <w:pStyle w:val="Footer"/>
              <w:jc w:val="right"/>
            </w:pPr>
            <w:r w:rsidRPr="00CA14A1">
              <w:t xml:space="preserve">Page </w:t>
            </w:r>
            <w:r w:rsidRPr="00CA14A1">
              <w:rPr>
                <w:bCs/>
              </w:rPr>
              <w:fldChar w:fldCharType="begin"/>
            </w:r>
            <w:r w:rsidRPr="00CA14A1">
              <w:rPr>
                <w:bCs/>
              </w:rPr>
              <w:instrText xml:space="preserve"> PAGE </w:instrText>
            </w:r>
            <w:r w:rsidRPr="00CA14A1">
              <w:rPr>
                <w:bCs/>
              </w:rPr>
              <w:fldChar w:fldCharType="separate"/>
            </w:r>
            <w:r w:rsidR="00147252">
              <w:rPr>
                <w:bCs/>
                <w:noProof/>
              </w:rPr>
              <w:t>1</w:t>
            </w:r>
            <w:r w:rsidRPr="00CA14A1">
              <w:rPr>
                <w:bCs/>
              </w:rPr>
              <w:fldChar w:fldCharType="end"/>
            </w:r>
            <w:r w:rsidRPr="00CA14A1">
              <w:t xml:space="preserve"> of </w:t>
            </w:r>
            <w:r w:rsidRPr="00CA14A1">
              <w:rPr>
                <w:bCs/>
              </w:rPr>
              <w:fldChar w:fldCharType="begin"/>
            </w:r>
            <w:r w:rsidRPr="00CA14A1">
              <w:rPr>
                <w:bCs/>
              </w:rPr>
              <w:instrText xml:space="preserve"> NUMPAGES  </w:instrText>
            </w:r>
            <w:r w:rsidRPr="00CA14A1">
              <w:rPr>
                <w:bCs/>
              </w:rPr>
              <w:fldChar w:fldCharType="separate"/>
            </w:r>
            <w:r w:rsidR="00147252">
              <w:rPr>
                <w:bCs/>
                <w:noProof/>
              </w:rPr>
              <w:t>5</w:t>
            </w:r>
            <w:r w:rsidRPr="00CA14A1">
              <w:rPr>
                <w:bCs/>
              </w:rPr>
              <w:fldChar w:fldCharType="end"/>
            </w:r>
          </w:p>
        </w:sdtContent>
      </w:sdt>
    </w:sdtContent>
  </w:sdt>
  <w:p w:rsidR="00231952" w:rsidRDefault="00231952">
    <w:pPr>
      <w:pStyle w:val="Footer"/>
    </w:pPr>
  </w:p>
  <w:p w:rsidR="00231952" w:rsidRDefault="00231952"/>
  <w:p w:rsidR="00231952" w:rsidRDefault="00231952" w:rsidP="009368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D42" w:rsidRDefault="004D1D42" w:rsidP="00CA14A1">
      <w:pPr>
        <w:spacing w:before="0" w:line="240" w:lineRule="auto"/>
      </w:pPr>
      <w:r>
        <w:separator/>
      </w:r>
    </w:p>
    <w:p w:rsidR="004D1D42" w:rsidRDefault="004D1D42"/>
    <w:p w:rsidR="004D1D42" w:rsidRDefault="004D1D42" w:rsidP="00936869"/>
  </w:footnote>
  <w:footnote w:type="continuationSeparator" w:id="0">
    <w:p w:rsidR="004D1D42" w:rsidRDefault="004D1D42" w:rsidP="00CA14A1">
      <w:pPr>
        <w:spacing w:before="0" w:line="240" w:lineRule="auto"/>
      </w:pPr>
      <w:r>
        <w:continuationSeparator/>
      </w:r>
    </w:p>
    <w:p w:rsidR="004D1D42" w:rsidRDefault="004D1D42"/>
    <w:p w:rsidR="004D1D42" w:rsidRDefault="004D1D42" w:rsidP="009368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6DB9"/>
    <w:multiLevelType w:val="hybridMultilevel"/>
    <w:tmpl w:val="5690568C"/>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05677DCC"/>
    <w:multiLevelType w:val="hybridMultilevel"/>
    <w:tmpl w:val="AB7643B6"/>
    <w:lvl w:ilvl="0" w:tplc="DA4E99B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702BFF"/>
    <w:multiLevelType w:val="hybridMultilevel"/>
    <w:tmpl w:val="87BCB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EF3B89"/>
    <w:multiLevelType w:val="hybridMultilevel"/>
    <w:tmpl w:val="6E344A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FA1541"/>
    <w:multiLevelType w:val="hybridMultilevel"/>
    <w:tmpl w:val="252A0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A425A"/>
    <w:multiLevelType w:val="hybridMultilevel"/>
    <w:tmpl w:val="4ED25EFA"/>
    <w:lvl w:ilvl="0" w:tplc="185E3220">
      <w:start w:val="6"/>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445AFD"/>
    <w:multiLevelType w:val="hybridMultilevel"/>
    <w:tmpl w:val="CB447A5A"/>
    <w:lvl w:ilvl="0" w:tplc="0C090001">
      <w:start w:val="1"/>
      <w:numFmt w:val="bullet"/>
      <w:lvlText w:val=""/>
      <w:lvlJc w:val="left"/>
      <w:pPr>
        <w:ind w:left="720" w:hanging="360"/>
      </w:pPr>
      <w:rPr>
        <w:rFonts w:ascii="Symbol" w:hAnsi="Symbol" w:hint="default"/>
      </w:rPr>
    </w:lvl>
    <w:lvl w:ilvl="1" w:tplc="5F605D7C">
      <w:numFmt w:val="bullet"/>
      <w:lvlText w:val="•"/>
      <w:lvlJc w:val="left"/>
      <w:pPr>
        <w:ind w:left="1800" w:hanging="720"/>
      </w:pPr>
      <w:rPr>
        <w:rFonts w:ascii="Verdana" w:eastAsiaTheme="minorHAnsi" w:hAnsi="Verdana"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C11A53"/>
    <w:multiLevelType w:val="hybridMultilevel"/>
    <w:tmpl w:val="472492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075A9F"/>
    <w:multiLevelType w:val="hybridMultilevel"/>
    <w:tmpl w:val="5E10F8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9D4C90"/>
    <w:multiLevelType w:val="hybridMultilevel"/>
    <w:tmpl w:val="F4CCB8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50D271B"/>
    <w:multiLevelType w:val="hybridMultilevel"/>
    <w:tmpl w:val="EB6AE8A2"/>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744FA4"/>
    <w:multiLevelType w:val="hybridMultilevel"/>
    <w:tmpl w:val="04AEDB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0C7E2E"/>
    <w:multiLevelType w:val="hybridMultilevel"/>
    <w:tmpl w:val="89400786"/>
    <w:lvl w:ilvl="0" w:tplc="8B6412DA">
      <w:start w:val="1"/>
      <w:numFmt w:val="decimal"/>
      <w:lvlText w:val="%1."/>
      <w:lvlJc w:val="left"/>
      <w:pPr>
        <w:ind w:left="624" w:hanging="340"/>
      </w:pPr>
      <w:rPr>
        <w:rFonts w:eastAsiaTheme="minorHAnsi"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CA59A3"/>
    <w:multiLevelType w:val="multilevel"/>
    <w:tmpl w:val="1F4E62D4"/>
    <w:lvl w:ilvl="0">
      <w:start w:val="3"/>
      <w:numFmt w:val="decimal"/>
      <w:lvlText w:val="%1."/>
      <w:lvlJc w:val="left"/>
      <w:pPr>
        <w:ind w:left="390" w:hanging="390"/>
      </w:pPr>
      <w:rPr>
        <w:rFonts w:eastAsiaTheme="minorEastAsia" w:hint="default"/>
      </w:rPr>
    </w:lvl>
    <w:lvl w:ilvl="1">
      <w:start w:val="1"/>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440" w:hanging="144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800" w:hanging="1800"/>
      </w:pPr>
      <w:rPr>
        <w:rFonts w:eastAsiaTheme="minorEastAsia" w:hint="default"/>
      </w:rPr>
    </w:lvl>
    <w:lvl w:ilvl="7">
      <w:start w:val="1"/>
      <w:numFmt w:val="decimal"/>
      <w:lvlText w:val="%1.%2.%3.%4.%5.%6.%7.%8."/>
      <w:lvlJc w:val="left"/>
      <w:pPr>
        <w:ind w:left="2160" w:hanging="216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14" w15:restartNumberingAfterBreak="0">
    <w:nsid w:val="2BB61095"/>
    <w:multiLevelType w:val="hybridMultilevel"/>
    <w:tmpl w:val="A65E0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CA112F"/>
    <w:multiLevelType w:val="hybridMultilevel"/>
    <w:tmpl w:val="B30EC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417890"/>
    <w:multiLevelType w:val="hybridMultilevel"/>
    <w:tmpl w:val="E28A4788"/>
    <w:lvl w:ilvl="0" w:tplc="185E3220">
      <w:start w:val="6"/>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E3B37C6"/>
    <w:multiLevelType w:val="hybridMultilevel"/>
    <w:tmpl w:val="06822440"/>
    <w:lvl w:ilvl="0" w:tplc="957C2DDE">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26E5D01"/>
    <w:multiLevelType w:val="multilevel"/>
    <w:tmpl w:val="E6863914"/>
    <w:lvl w:ilvl="0">
      <w:start w:val="3"/>
      <w:numFmt w:val="decimal"/>
      <w:lvlText w:val="%1."/>
      <w:lvlJc w:val="left"/>
      <w:pPr>
        <w:ind w:left="585" w:hanging="585"/>
      </w:pPr>
      <w:rPr>
        <w:rFonts w:hint="default"/>
        <w:b/>
      </w:rPr>
    </w:lvl>
    <w:lvl w:ilvl="1">
      <w:start w:val="2"/>
      <w:numFmt w:val="decimal"/>
      <w:lvlText w:val="%1.%2."/>
      <w:lvlJc w:val="left"/>
      <w:pPr>
        <w:ind w:left="720" w:hanging="720"/>
      </w:pPr>
      <w:rPr>
        <w:rFonts w:hint="default"/>
        <w:b w:val="0"/>
      </w:rPr>
    </w:lvl>
    <w:lvl w:ilvl="2">
      <w:start w:val="4"/>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9" w15:restartNumberingAfterBreak="0">
    <w:nsid w:val="337967C2"/>
    <w:multiLevelType w:val="hybridMultilevel"/>
    <w:tmpl w:val="6A3A9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984251"/>
    <w:multiLevelType w:val="hybridMultilevel"/>
    <w:tmpl w:val="DAFCA998"/>
    <w:lvl w:ilvl="0" w:tplc="BEAEAB0C">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6F7B16"/>
    <w:multiLevelType w:val="hybridMultilevel"/>
    <w:tmpl w:val="80782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1017BE"/>
    <w:multiLevelType w:val="hybridMultilevel"/>
    <w:tmpl w:val="834C7BC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3B637E78"/>
    <w:multiLevelType w:val="hybridMultilevel"/>
    <w:tmpl w:val="4E6853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A439DE"/>
    <w:multiLevelType w:val="multilevel"/>
    <w:tmpl w:val="32F4003C"/>
    <w:lvl w:ilvl="0">
      <w:start w:val="1"/>
      <w:numFmt w:val="decimal"/>
      <w:lvlText w:val="%1."/>
      <w:lvlJc w:val="left"/>
      <w:pPr>
        <w:ind w:left="360" w:hanging="360"/>
      </w:pPr>
      <w:rPr>
        <w:rFonts w:hint="default"/>
      </w:rPr>
    </w:lvl>
    <w:lvl w:ilvl="1">
      <w:start w:val="1"/>
      <w:numFmt w:val="decimal"/>
      <w:pStyle w:val="Heading2"/>
      <w:isLgl/>
      <w:lvlText w:val="%1.%2"/>
      <w:lvlJc w:val="left"/>
      <w:pPr>
        <w:ind w:left="720" w:hanging="720"/>
      </w:pPr>
      <w:rPr>
        <w:rFonts w:hint="default"/>
        <w:b w:val="0"/>
        <w:i/>
      </w:rPr>
    </w:lvl>
    <w:lvl w:ilvl="2">
      <w:start w:val="1"/>
      <w:numFmt w:val="decimal"/>
      <w:isLgl/>
      <w:lvlText w:val="%1.%2.%3"/>
      <w:lvlJc w:val="left"/>
      <w:pPr>
        <w:ind w:left="72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3D1E745D"/>
    <w:multiLevelType w:val="hybridMultilevel"/>
    <w:tmpl w:val="E56CE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1C5005"/>
    <w:multiLevelType w:val="hybridMultilevel"/>
    <w:tmpl w:val="2DD6C842"/>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8A65227"/>
    <w:multiLevelType w:val="hybridMultilevel"/>
    <w:tmpl w:val="B7DAD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B06699F"/>
    <w:multiLevelType w:val="hybridMultilevel"/>
    <w:tmpl w:val="B0C025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7F4F19"/>
    <w:multiLevelType w:val="hybridMultilevel"/>
    <w:tmpl w:val="B8F62FA4"/>
    <w:lvl w:ilvl="0" w:tplc="AAD6826E">
      <w:start w:val="1"/>
      <w:numFmt w:val="decimal"/>
      <w:lvlText w:val="%1."/>
      <w:lvlJc w:val="left"/>
      <w:pPr>
        <w:ind w:left="360" w:hanging="360"/>
      </w:pPr>
      <w:rPr>
        <w:rFonts w:eastAsia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0D37EAD"/>
    <w:multiLevelType w:val="hybridMultilevel"/>
    <w:tmpl w:val="BD5E3680"/>
    <w:lvl w:ilvl="0" w:tplc="AAD6826E">
      <w:start w:val="1"/>
      <w:numFmt w:val="decimal"/>
      <w:lvlText w:val="%1."/>
      <w:lvlJc w:val="left"/>
      <w:pPr>
        <w:ind w:left="363" w:hanging="360"/>
      </w:pPr>
      <w:rPr>
        <w:rFonts w:eastAsiaTheme="minorHAnsi" w:hint="default"/>
        <w:b w:val="0"/>
        <w:i w:val="0"/>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31" w15:restartNumberingAfterBreak="0">
    <w:nsid w:val="672131DD"/>
    <w:multiLevelType w:val="hybridMultilevel"/>
    <w:tmpl w:val="577C8CB4"/>
    <w:lvl w:ilvl="0" w:tplc="94B6A18E">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78A7914"/>
    <w:multiLevelType w:val="hybridMultilevel"/>
    <w:tmpl w:val="8E3E7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8A021F0"/>
    <w:multiLevelType w:val="hybridMultilevel"/>
    <w:tmpl w:val="78B2E876"/>
    <w:lvl w:ilvl="0" w:tplc="C21C3B26">
      <w:start w:val="2"/>
      <w:numFmt w:val="lowerLetter"/>
      <w:lvlText w:val="%1."/>
      <w:lvlJc w:val="left"/>
      <w:pPr>
        <w:ind w:left="360" w:hanging="360"/>
      </w:pPr>
      <w:rPr>
        <w:rFonts w:hint="default"/>
        <w: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D146207"/>
    <w:multiLevelType w:val="hybridMultilevel"/>
    <w:tmpl w:val="F0BC1E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D772ED8"/>
    <w:multiLevelType w:val="hybridMultilevel"/>
    <w:tmpl w:val="CA34D0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2671F72"/>
    <w:multiLevelType w:val="hybridMultilevel"/>
    <w:tmpl w:val="98D0D3E2"/>
    <w:lvl w:ilvl="0" w:tplc="E1C6091A">
      <w:start w:val="1"/>
      <w:numFmt w:val="lowerLetter"/>
      <w:lvlText w:val="%1."/>
      <w:lvlJc w:val="left"/>
      <w:pPr>
        <w:ind w:left="360" w:hanging="360"/>
      </w:pPr>
      <w:rPr>
        <w:rFonts w:hint="default"/>
        <w: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4A12383"/>
    <w:multiLevelType w:val="hybridMultilevel"/>
    <w:tmpl w:val="1DC2F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A171B0"/>
    <w:multiLevelType w:val="hybridMultilevel"/>
    <w:tmpl w:val="BD5E3680"/>
    <w:lvl w:ilvl="0" w:tplc="AAD6826E">
      <w:start w:val="1"/>
      <w:numFmt w:val="decimal"/>
      <w:lvlText w:val="%1."/>
      <w:lvlJc w:val="left"/>
      <w:pPr>
        <w:ind w:left="720" w:hanging="360"/>
      </w:pPr>
      <w:rPr>
        <w:rFonts w:eastAsiaTheme="minorHAnsi"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5C7322F"/>
    <w:multiLevelType w:val="hybridMultilevel"/>
    <w:tmpl w:val="D6C0388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28"/>
  </w:num>
  <w:num w:numId="3">
    <w:abstractNumId w:val="2"/>
  </w:num>
  <w:num w:numId="4">
    <w:abstractNumId w:val="19"/>
  </w:num>
  <w:num w:numId="5">
    <w:abstractNumId w:val="3"/>
  </w:num>
  <w:num w:numId="6">
    <w:abstractNumId w:val="34"/>
  </w:num>
  <w:num w:numId="7">
    <w:abstractNumId w:val="8"/>
  </w:num>
  <w:num w:numId="8">
    <w:abstractNumId w:val="11"/>
  </w:num>
  <w:num w:numId="9">
    <w:abstractNumId w:val="27"/>
  </w:num>
  <w:num w:numId="10">
    <w:abstractNumId w:val="23"/>
  </w:num>
  <w:num w:numId="11">
    <w:abstractNumId w:val="33"/>
  </w:num>
  <w:num w:numId="12">
    <w:abstractNumId w:val="25"/>
  </w:num>
  <w:num w:numId="13">
    <w:abstractNumId w:val="21"/>
  </w:num>
  <w:num w:numId="14">
    <w:abstractNumId w:val="32"/>
  </w:num>
  <w:num w:numId="15">
    <w:abstractNumId w:val="6"/>
  </w:num>
  <w:num w:numId="16">
    <w:abstractNumId w:val="4"/>
  </w:num>
  <w:num w:numId="17">
    <w:abstractNumId w:val="37"/>
  </w:num>
  <w:num w:numId="18">
    <w:abstractNumId w:val="9"/>
  </w:num>
  <w:num w:numId="19">
    <w:abstractNumId w:val="30"/>
  </w:num>
  <w:num w:numId="20">
    <w:abstractNumId w:val="0"/>
  </w:num>
  <w:num w:numId="21">
    <w:abstractNumId w:val="13"/>
  </w:num>
  <w:num w:numId="22">
    <w:abstractNumId w:val="12"/>
  </w:num>
  <w:num w:numId="23">
    <w:abstractNumId w:val="29"/>
  </w:num>
  <w:num w:numId="24">
    <w:abstractNumId w:val="18"/>
  </w:num>
  <w:num w:numId="25">
    <w:abstractNumId w:val="38"/>
  </w:num>
  <w:num w:numId="26">
    <w:abstractNumId w:val="31"/>
  </w:num>
  <w:num w:numId="27">
    <w:abstractNumId w:val="26"/>
  </w:num>
  <w:num w:numId="28">
    <w:abstractNumId w:val="10"/>
  </w:num>
  <w:num w:numId="29">
    <w:abstractNumId w:val="1"/>
  </w:num>
  <w:num w:numId="30">
    <w:abstractNumId w:val="24"/>
    <w:lvlOverride w:ilvl="0">
      <w:startOverride w:val="2"/>
    </w:lvlOverride>
    <w:lvlOverride w:ilvl="1">
      <w:startOverride w:val="2"/>
    </w:lvlOverride>
    <w:lvlOverride w:ilvl="2">
      <w:startOverride w:val="3"/>
    </w:lvlOverride>
  </w:num>
  <w:num w:numId="31">
    <w:abstractNumId w:val="36"/>
  </w:num>
  <w:num w:numId="32">
    <w:abstractNumId w:val="35"/>
  </w:num>
  <w:num w:numId="33">
    <w:abstractNumId w:val="24"/>
    <w:lvlOverride w:ilvl="0">
      <w:startOverride w:val="2"/>
    </w:lvlOverride>
    <w:lvlOverride w:ilvl="1">
      <w:startOverride w:val="2"/>
    </w:lvlOverride>
    <w:lvlOverride w:ilvl="2">
      <w:startOverride w:val="2"/>
    </w:lvlOverride>
  </w:num>
  <w:num w:numId="34">
    <w:abstractNumId w:val="17"/>
  </w:num>
  <w:num w:numId="35">
    <w:abstractNumId w:val="16"/>
  </w:num>
  <w:num w:numId="36">
    <w:abstractNumId w:val="5"/>
  </w:num>
  <w:num w:numId="37">
    <w:abstractNumId w:val="20"/>
  </w:num>
  <w:num w:numId="38">
    <w:abstractNumId w:val="7"/>
  </w:num>
  <w:num w:numId="39">
    <w:abstractNumId w:val="22"/>
  </w:num>
  <w:num w:numId="40">
    <w:abstractNumId w:val="39"/>
  </w:num>
  <w:num w:numId="41">
    <w:abstractNumId w:val="15"/>
  </w:num>
  <w:num w:numId="42">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88"/>
    <w:rsid w:val="00001C38"/>
    <w:rsid w:val="0001638C"/>
    <w:rsid w:val="00016FC2"/>
    <w:rsid w:val="00021E7F"/>
    <w:rsid w:val="0002435C"/>
    <w:rsid w:val="00024B21"/>
    <w:rsid w:val="00027476"/>
    <w:rsid w:val="00031E51"/>
    <w:rsid w:val="00036886"/>
    <w:rsid w:val="00036C37"/>
    <w:rsid w:val="00037BEE"/>
    <w:rsid w:val="000434DC"/>
    <w:rsid w:val="00053225"/>
    <w:rsid w:val="00055509"/>
    <w:rsid w:val="000556AA"/>
    <w:rsid w:val="000561AE"/>
    <w:rsid w:val="00056C71"/>
    <w:rsid w:val="00062985"/>
    <w:rsid w:val="000638BE"/>
    <w:rsid w:val="0006561E"/>
    <w:rsid w:val="000668EF"/>
    <w:rsid w:val="00066A19"/>
    <w:rsid w:val="00071630"/>
    <w:rsid w:val="00072DED"/>
    <w:rsid w:val="0007347B"/>
    <w:rsid w:val="00076A7B"/>
    <w:rsid w:val="00087558"/>
    <w:rsid w:val="000875A7"/>
    <w:rsid w:val="00093FD3"/>
    <w:rsid w:val="0009798C"/>
    <w:rsid w:val="000B30FD"/>
    <w:rsid w:val="000B35B0"/>
    <w:rsid w:val="000B4F84"/>
    <w:rsid w:val="000B7553"/>
    <w:rsid w:val="000C042D"/>
    <w:rsid w:val="000C29C3"/>
    <w:rsid w:val="000C380F"/>
    <w:rsid w:val="000C6527"/>
    <w:rsid w:val="000D07AE"/>
    <w:rsid w:val="000D1CFC"/>
    <w:rsid w:val="000D5FF7"/>
    <w:rsid w:val="000E2BCA"/>
    <w:rsid w:val="000E41F1"/>
    <w:rsid w:val="000E6FA6"/>
    <w:rsid w:val="000E74AA"/>
    <w:rsid w:val="000F1386"/>
    <w:rsid w:val="000F30B3"/>
    <w:rsid w:val="000F4C90"/>
    <w:rsid w:val="000F5BCF"/>
    <w:rsid w:val="001107C5"/>
    <w:rsid w:val="001153FD"/>
    <w:rsid w:val="00116CB5"/>
    <w:rsid w:val="00117329"/>
    <w:rsid w:val="00117F7C"/>
    <w:rsid w:val="001242B7"/>
    <w:rsid w:val="001409F4"/>
    <w:rsid w:val="00143FB8"/>
    <w:rsid w:val="00144232"/>
    <w:rsid w:val="001467DF"/>
    <w:rsid w:val="00146F1B"/>
    <w:rsid w:val="00147252"/>
    <w:rsid w:val="00156687"/>
    <w:rsid w:val="001805AF"/>
    <w:rsid w:val="0018381B"/>
    <w:rsid w:val="001839D1"/>
    <w:rsid w:val="00185D58"/>
    <w:rsid w:val="001908E1"/>
    <w:rsid w:val="00193D0C"/>
    <w:rsid w:val="00194D2B"/>
    <w:rsid w:val="00197244"/>
    <w:rsid w:val="001A25EB"/>
    <w:rsid w:val="001A3D6A"/>
    <w:rsid w:val="001A5795"/>
    <w:rsid w:val="001A5CE4"/>
    <w:rsid w:val="001B0562"/>
    <w:rsid w:val="001B55D1"/>
    <w:rsid w:val="001C3AA7"/>
    <w:rsid w:val="001D42EC"/>
    <w:rsid w:val="001E6881"/>
    <w:rsid w:val="001E723D"/>
    <w:rsid w:val="001F1A91"/>
    <w:rsid w:val="001F382E"/>
    <w:rsid w:val="001F4BA6"/>
    <w:rsid w:val="002022B8"/>
    <w:rsid w:val="00205CE4"/>
    <w:rsid w:val="00206240"/>
    <w:rsid w:val="0021356E"/>
    <w:rsid w:val="00220845"/>
    <w:rsid w:val="0022257B"/>
    <w:rsid w:val="00225098"/>
    <w:rsid w:val="002252AB"/>
    <w:rsid w:val="00226F25"/>
    <w:rsid w:val="00231952"/>
    <w:rsid w:val="0023451E"/>
    <w:rsid w:val="00235B09"/>
    <w:rsid w:val="00237996"/>
    <w:rsid w:val="00241A00"/>
    <w:rsid w:val="00246906"/>
    <w:rsid w:val="00264AEB"/>
    <w:rsid w:val="0027142F"/>
    <w:rsid w:val="00281552"/>
    <w:rsid w:val="0028318E"/>
    <w:rsid w:val="0029417A"/>
    <w:rsid w:val="00297BC5"/>
    <w:rsid w:val="002A0C2E"/>
    <w:rsid w:val="002B66F7"/>
    <w:rsid w:val="002B7FDE"/>
    <w:rsid w:val="002C0A67"/>
    <w:rsid w:val="002C7477"/>
    <w:rsid w:val="002D5405"/>
    <w:rsid w:val="002E09EB"/>
    <w:rsid w:val="002F28B0"/>
    <w:rsid w:val="002F3180"/>
    <w:rsid w:val="002F767C"/>
    <w:rsid w:val="002F78ED"/>
    <w:rsid w:val="00307144"/>
    <w:rsid w:val="00307F2D"/>
    <w:rsid w:val="00315307"/>
    <w:rsid w:val="003212AA"/>
    <w:rsid w:val="00321B75"/>
    <w:rsid w:val="00323F66"/>
    <w:rsid w:val="00324624"/>
    <w:rsid w:val="00327516"/>
    <w:rsid w:val="00332B1F"/>
    <w:rsid w:val="003333E7"/>
    <w:rsid w:val="003442E4"/>
    <w:rsid w:val="00344541"/>
    <w:rsid w:val="0034468F"/>
    <w:rsid w:val="00356515"/>
    <w:rsid w:val="00360747"/>
    <w:rsid w:val="0036368B"/>
    <w:rsid w:val="0036428A"/>
    <w:rsid w:val="003713CE"/>
    <w:rsid w:val="00372741"/>
    <w:rsid w:val="0037304E"/>
    <w:rsid w:val="00373A5C"/>
    <w:rsid w:val="003769C7"/>
    <w:rsid w:val="00376E94"/>
    <w:rsid w:val="00382945"/>
    <w:rsid w:val="0038338A"/>
    <w:rsid w:val="003859B8"/>
    <w:rsid w:val="003902FC"/>
    <w:rsid w:val="003914A5"/>
    <w:rsid w:val="003915CA"/>
    <w:rsid w:val="00394262"/>
    <w:rsid w:val="003A1B6F"/>
    <w:rsid w:val="003B0D1A"/>
    <w:rsid w:val="003B2CD5"/>
    <w:rsid w:val="003B797B"/>
    <w:rsid w:val="003C67CE"/>
    <w:rsid w:val="003D006B"/>
    <w:rsid w:val="003E09A5"/>
    <w:rsid w:val="003E2DB1"/>
    <w:rsid w:val="003E2EEB"/>
    <w:rsid w:val="003F074A"/>
    <w:rsid w:val="003F4BD6"/>
    <w:rsid w:val="003F5036"/>
    <w:rsid w:val="003F74EA"/>
    <w:rsid w:val="004043F5"/>
    <w:rsid w:val="00406600"/>
    <w:rsid w:val="004069D5"/>
    <w:rsid w:val="00407B79"/>
    <w:rsid w:val="00412963"/>
    <w:rsid w:val="00417153"/>
    <w:rsid w:val="0041750E"/>
    <w:rsid w:val="0042172E"/>
    <w:rsid w:val="0042637F"/>
    <w:rsid w:val="00426A98"/>
    <w:rsid w:val="004312F3"/>
    <w:rsid w:val="004372CC"/>
    <w:rsid w:val="0043796A"/>
    <w:rsid w:val="004415C7"/>
    <w:rsid w:val="004501F5"/>
    <w:rsid w:val="004514C7"/>
    <w:rsid w:val="00453859"/>
    <w:rsid w:val="00454606"/>
    <w:rsid w:val="004675FC"/>
    <w:rsid w:val="004708C0"/>
    <w:rsid w:val="00470C1C"/>
    <w:rsid w:val="00482663"/>
    <w:rsid w:val="00485C49"/>
    <w:rsid w:val="00486630"/>
    <w:rsid w:val="00493687"/>
    <w:rsid w:val="004945CB"/>
    <w:rsid w:val="004A04CD"/>
    <w:rsid w:val="004A0B9F"/>
    <w:rsid w:val="004A1983"/>
    <w:rsid w:val="004A231E"/>
    <w:rsid w:val="004A619F"/>
    <w:rsid w:val="004B0473"/>
    <w:rsid w:val="004B5095"/>
    <w:rsid w:val="004C07AA"/>
    <w:rsid w:val="004C16F3"/>
    <w:rsid w:val="004C2245"/>
    <w:rsid w:val="004C49B6"/>
    <w:rsid w:val="004D02A9"/>
    <w:rsid w:val="004D1403"/>
    <w:rsid w:val="004D1D42"/>
    <w:rsid w:val="004D5390"/>
    <w:rsid w:val="004E2EDD"/>
    <w:rsid w:val="004E35C7"/>
    <w:rsid w:val="004E36BD"/>
    <w:rsid w:val="004E3B03"/>
    <w:rsid w:val="004E40FD"/>
    <w:rsid w:val="004F02D3"/>
    <w:rsid w:val="004F5628"/>
    <w:rsid w:val="004F6582"/>
    <w:rsid w:val="004F722C"/>
    <w:rsid w:val="00502283"/>
    <w:rsid w:val="00505D96"/>
    <w:rsid w:val="00512852"/>
    <w:rsid w:val="00514D0D"/>
    <w:rsid w:val="005152BF"/>
    <w:rsid w:val="00526ED3"/>
    <w:rsid w:val="00530AFD"/>
    <w:rsid w:val="005355AD"/>
    <w:rsid w:val="00536B58"/>
    <w:rsid w:val="0054045E"/>
    <w:rsid w:val="00542017"/>
    <w:rsid w:val="0054438C"/>
    <w:rsid w:val="00544C7F"/>
    <w:rsid w:val="00545BC5"/>
    <w:rsid w:val="00547AB2"/>
    <w:rsid w:val="005508E5"/>
    <w:rsid w:val="00550E3E"/>
    <w:rsid w:val="005511D3"/>
    <w:rsid w:val="00551AC1"/>
    <w:rsid w:val="00551B44"/>
    <w:rsid w:val="005525C8"/>
    <w:rsid w:val="00556295"/>
    <w:rsid w:val="00556685"/>
    <w:rsid w:val="00560BAA"/>
    <w:rsid w:val="00565655"/>
    <w:rsid w:val="00572BBA"/>
    <w:rsid w:val="0057550B"/>
    <w:rsid w:val="005909DE"/>
    <w:rsid w:val="0059758C"/>
    <w:rsid w:val="005A0771"/>
    <w:rsid w:val="005A1D01"/>
    <w:rsid w:val="005A1FFE"/>
    <w:rsid w:val="005A29C9"/>
    <w:rsid w:val="005A3696"/>
    <w:rsid w:val="005B1D99"/>
    <w:rsid w:val="005B6986"/>
    <w:rsid w:val="005B7F2A"/>
    <w:rsid w:val="005C06E7"/>
    <w:rsid w:val="005C18C9"/>
    <w:rsid w:val="005C394F"/>
    <w:rsid w:val="005C50BA"/>
    <w:rsid w:val="005D2615"/>
    <w:rsid w:val="005D47EA"/>
    <w:rsid w:val="005D54E5"/>
    <w:rsid w:val="005D674E"/>
    <w:rsid w:val="005E1AC3"/>
    <w:rsid w:val="005E4B45"/>
    <w:rsid w:val="005E5D6E"/>
    <w:rsid w:val="005E70E0"/>
    <w:rsid w:val="005F4792"/>
    <w:rsid w:val="005F4F87"/>
    <w:rsid w:val="00601D04"/>
    <w:rsid w:val="006022BF"/>
    <w:rsid w:val="006025C1"/>
    <w:rsid w:val="0060474A"/>
    <w:rsid w:val="00605C68"/>
    <w:rsid w:val="00606FF0"/>
    <w:rsid w:val="00614CDA"/>
    <w:rsid w:val="00623237"/>
    <w:rsid w:val="00630A6D"/>
    <w:rsid w:val="00634BB5"/>
    <w:rsid w:val="00635320"/>
    <w:rsid w:val="00635F0D"/>
    <w:rsid w:val="00647D59"/>
    <w:rsid w:val="00651212"/>
    <w:rsid w:val="00662295"/>
    <w:rsid w:val="00672454"/>
    <w:rsid w:val="00674A53"/>
    <w:rsid w:val="0068288B"/>
    <w:rsid w:val="00685182"/>
    <w:rsid w:val="0068526E"/>
    <w:rsid w:val="00686311"/>
    <w:rsid w:val="00693AA3"/>
    <w:rsid w:val="006A1BE5"/>
    <w:rsid w:val="006A2895"/>
    <w:rsid w:val="006A3110"/>
    <w:rsid w:val="006A5EA0"/>
    <w:rsid w:val="006B28D2"/>
    <w:rsid w:val="006B45F0"/>
    <w:rsid w:val="006B4852"/>
    <w:rsid w:val="006B518C"/>
    <w:rsid w:val="006B6F2C"/>
    <w:rsid w:val="006C50C3"/>
    <w:rsid w:val="006C5FB5"/>
    <w:rsid w:val="006C656C"/>
    <w:rsid w:val="006D2382"/>
    <w:rsid w:val="006D2A57"/>
    <w:rsid w:val="006D43B6"/>
    <w:rsid w:val="006D557E"/>
    <w:rsid w:val="006D6DCE"/>
    <w:rsid w:val="006E7BB2"/>
    <w:rsid w:val="006F1BA9"/>
    <w:rsid w:val="006F383B"/>
    <w:rsid w:val="007146D6"/>
    <w:rsid w:val="00715A15"/>
    <w:rsid w:val="00726A10"/>
    <w:rsid w:val="00726AEB"/>
    <w:rsid w:val="0072749E"/>
    <w:rsid w:val="0073705B"/>
    <w:rsid w:val="00740506"/>
    <w:rsid w:val="00744981"/>
    <w:rsid w:val="00745F7B"/>
    <w:rsid w:val="00747E3A"/>
    <w:rsid w:val="007512A7"/>
    <w:rsid w:val="00751D3B"/>
    <w:rsid w:val="00752BDF"/>
    <w:rsid w:val="0075361F"/>
    <w:rsid w:val="00757497"/>
    <w:rsid w:val="0076074E"/>
    <w:rsid w:val="0076495C"/>
    <w:rsid w:val="0076788C"/>
    <w:rsid w:val="00767BC4"/>
    <w:rsid w:val="00771114"/>
    <w:rsid w:val="00774282"/>
    <w:rsid w:val="00775EA1"/>
    <w:rsid w:val="007808F4"/>
    <w:rsid w:val="007840D1"/>
    <w:rsid w:val="00784E42"/>
    <w:rsid w:val="007913F4"/>
    <w:rsid w:val="007A12D7"/>
    <w:rsid w:val="007A178B"/>
    <w:rsid w:val="007A4172"/>
    <w:rsid w:val="007A5F1B"/>
    <w:rsid w:val="007B0F99"/>
    <w:rsid w:val="007B7C49"/>
    <w:rsid w:val="007C043B"/>
    <w:rsid w:val="007C5C86"/>
    <w:rsid w:val="007C763F"/>
    <w:rsid w:val="007D1933"/>
    <w:rsid w:val="007D48B9"/>
    <w:rsid w:val="007E7277"/>
    <w:rsid w:val="007F0914"/>
    <w:rsid w:val="007F0EC6"/>
    <w:rsid w:val="007F4824"/>
    <w:rsid w:val="007F7468"/>
    <w:rsid w:val="00800D10"/>
    <w:rsid w:val="00802AC8"/>
    <w:rsid w:val="00802E4B"/>
    <w:rsid w:val="00803519"/>
    <w:rsid w:val="00815FE4"/>
    <w:rsid w:val="00817DF7"/>
    <w:rsid w:val="008304DC"/>
    <w:rsid w:val="00831B63"/>
    <w:rsid w:val="00835142"/>
    <w:rsid w:val="00836B57"/>
    <w:rsid w:val="008379E1"/>
    <w:rsid w:val="00837ABE"/>
    <w:rsid w:val="00837D3D"/>
    <w:rsid w:val="00840A75"/>
    <w:rsid w:val="00840E5B"/>
    <w:rsid w:val="00843281"/>
    <w:rsid w:val="008462EC"/>
    <w:rsid w:val="00846F2A"/>
    <w:rsid w:val="00847472"/>
    <w:rsid w:val="00847A97"/>
    <w:rsid w:val="008504E3"/>
    <w:rsid w:val="008505D9"/>
    <w:rsid w:val="0085210A"/>
    <w:rsid w:val="00853797"/>
    <w:rsid w:val="008572AA"/>
    <w:rsid w:val="00857576"/>
    <w:rsid w:val="00864E7D"/>
    <w:rsid w:val="008655CA"/>
    <w:rsid w:val="0086599C"/>
    <w:rsid w:val="0086753F"/>
    <w:rsid w:val="00870358"/>
    <w:rsid w:val="0087101D"/>
    <w:rsid w:val="00876AC1"/>
    <w:rsid w:val="00882AF8"/>
    <w:rsid w:val="00885E5A"/>
    <w:rsid w:val="0089394E"/>
    <w:rsid w:val="00895338"/>
    <w:rsid w:val="008A493F"/>
    <w:rsid w:val="008A4B38"/>
    <w:rsid w:val="008A53DA"/>
    <w:rsid w:val="008B2050"/>
    <w:rsid w:val="008B23DE"/>
    <w:rsid w:val="008B605C"/>
    <w:rsid w:val="008D5646"/>
    <w:rsid w:val="008D62E7"/>
    <w:rsid w:val="008D78EC"/>
    <w:rsid w:val="008E6744"/>
    <w:rsid w:val="008E6942"/>
    <w:rsid w:val="008F145F"/>
    <w:rsid w:val="009011BB"/>
    <w:rsid w:val="00904D92"/>
    <w:rsid w:val="00906578"/>
    <w:rsid w:val="00910AFF"/>
    <w:rsid w:val="00911D26"/>
    <w:rsid w:val="00917E84"/>
    <w:rsid w:val="00920B80"/>
    <w:rsid w:val="009213C4"/>
    <w:rsid w:val="00922E15"/>
    <w:rsid w:val="00932453"/>
    <w:rsid w:val="009338D2"/>
    <w:rsid w:val="00934267"/>
    <w:rsid w:val="00936869"/>
    <w:rsid w:val="009369EF"/>
    <w:rsid w:val="009415DD"/>
    <w:rsid w:val="00947FA5"/>
    <w:rsid w:val="00953CFA"/>
    <w:rsid w:val="0095483A"/>
    <w:rsid w:val="009553FE"/>
    <w:rsid w:val="0095643A"/>
    <w:rsid w:val="0096181B"/>
    <w:rsid w:val="00962F8D"/>
    <w:rsid w:val="00964172"/>
    <w:rsid w:val="0097055E"/>
    <w:rsid w:val="009739E2"/>
    <w:rsid w:val="00973D98"/>
    <w:rsid w:val="00983B19"/>
    <w:rsid w:val="00992CAD"/>
    <w:rsid w:val="00996B23"/>
    <w:rsid w:val="009A1402"/>
    <w:rsid w:val="009B06F8"/>
    <w:rsid w:val="009B0E77"/>
    <w:rsid w:val="009B1254"/>
    <w:rsid w:val="009B6045"/>
    <w:rsid w:val="009C0050"/>
    <w:rsid w:val="009C1A03"/>
    <w:rsid w:val="009C22CE"/>
    <w:rsid w:val="009F2CB7"/>
    <w:rsid w:val="009F7402"/>
    <w:rsid w:val="00A03E7D"/>
    <w:rsid w:val="00A048DB"/>
    <w:rsid w:val="00A0530E"/>
    <w:rsid w:val="00A1543B"/>
    <w:rsid w:val="00A170B9"/>
    <w:rsid w:val="00A23900"/>
    <w:rsid w:val="00A305CC"/>
    <w:rsid w:val="00A37521"/>
    <w:rsid w:val="00A404F2"/>
    <w:rsid w:val="00A41BD9"/>
    <w:rsid w:val="00A4366C"/>
    <w:rsid w:val="00A46A9E"/>
    <w:rsid w:val="00A53F6C"/>
    <w:rsid w:val="00A55CD7"/>
    <w:rsid w:val="00A576BF"/>
    <w:rsid w:val="00A67D34"/>
    <w:rsid w:val="00A71EB8"/>
    <w:rsid w:val="00A7365D"/>
    <w:rsid w:val="00A81769"/>
    <w:rsid w:val="00A83B81"/>
    <w:rsid w:val="00A84EF6"/>
    <w:rsid w:val="00A87143"/>
    <w:rsid w:val="00A904A7"/>
    <w:rsid w:val="00A91B16"/>
    <w:rsid w:val="00A96AB0"/>
    <w:rsid w:val="00AA0530"/>
    <w:rsid w:val="00AA4957"/>
    <w:rsid w:val="00AA56EA"/>
    <w:rsid w:val="00AC0A8F"/>
    <w:rsid w:val="00AC5386"/>
    <w:rsid w:val="00AC7B51"/>
    <w:rsid w:val="00AD1803"/>
    <w:rsid w:val="00AD3E70"/>
    <w:rsid w:val="00AD7E75"/>
    <w:rsid w:val="00AE3367"/>
    <w:rsid w:val="00AE3AAB"/>
    <w:rsid w:val="00AF005F"/>
    <w:rsid w:val="00AF0C0E"/>
    <w:rsid w:val="00B02E36"/>
    <w:rsid w:val="00B0324C"/>
    <w:rsid w:val="00B0576C"/>
    <w:rsid w:val="00B07585"/>
    <w:rsid w:val="00B11191"/>
    <w:rsid w:val="00B243E7"/>
    <w:rsid w:val="00B30CED"/>
    <w:rsid w:val="00B324E4"/>
    <w:rsid w:val="00B350E8"/>
    <w:rsid w:val="00B35A05"/>
    <w:rsid w:val="00B37F15"/>
    <w:rsid w:val="00B404DD"/>
    <w:rsid w:val="00B54FCA"/>
    <w:rsid w:val="00B550F4"/>
    <w:rsid w:val="00B61DFB"/>
    <w:rsid w:val="00B62233"/>
    <w:rsid w:val="00B63DF9"/>
    <w:rsid w:val="00B673EB"/>
    <w:rsid w:val="00B67CCB"/>
    <w:rsid w:val="00B750DF"/>
    <w:rsid w:val="00B767F6"/>
    <w:rsid w:val="00B76CB4"/>
    <w:rsid w:val="00B853D0"/>
    <w:rsid w:val="00B86014"/>
    <w:rsid w:val="00B86239"/>
    <w:rsid w:val="00B901C8"/>
    <w:rsid w:val="00B9111B"/>
    <w:rsid w:val="00B93459"/>
    <w:rsid w:val="00B97A50"/>
    <w:rsid w:val="00BA22D3"/>
    <w:rsid w:val="00BA642D"/>
    <w:rsid w:val="00BA7BB1"/>
    <w:rsid w:val="00BB1805"/>
    <w:rsid w:val="00BB1C7D"/>
    <w:rsid w:val="00BB4A1E"/>
    <w:rsid w:val="00BB5768"/>
    <w:rsid w:val="00BB6BC9"/>
    <w:rsid w:val="00BC6854"/>
    <w:rsid w:val="00BD0639"/>
    <w:rsid w:val="00BD0E44"/>
    <w:rsid w:val="00BD1633"/>
    <w:rsid w:val="00BD3237"/>
    <w:rsid w:val="00BD5913"/>
    <w:rsid w:val="00BE0B19"/>
    <w:rsid w:val="00BE634F"/>
    <w:rsid w:val="00BE7166"/>
    <w:rsid w:val="00BE76FD"/>
    <w:rsid w:val="00BE7C70"/>
    <w:rsid w:val="00BF0281"/>
    <w:rsid w:val="00C02501"/>
    <w:rsid w:val="00C05463"/>
    <w:rsid w:val="00C0589E"/>
    <w:rsid w:val="00C062D3"/>
    <w:rsid w:val="00C1040B"/>
    <w:rsid w:val="00C10C71"/>
    <w:rsid w:val="00C16FCE"/>
    <w:rsid w:val="00C21DCB"/>
    <w:rsid w:val="00C223B5"/>
    <w:rsid w:val="00C22D73"/>
    <w:rsid w:val="00C23C0C"/>
    <w:rsid w:val="00C264DA"/>
    <w:rsid w:val="00C32AE0"/>
    <w:rsid w:val="00C34FB7"/>
    <w:rsid w:val="00C35B26"/>
    <w:rsid w:val="00C43695"/>
    <w:rsid w:val="00C5052E"/>
    <w:rsid w:val="00C522CB"/>
    <w:rsid w:val="00C53FED"/>
    <w:rsid w:val="00C62FA0"/>
    <w:rsid w:val="00C71978"/>
    <w:rsid w:val="00C72AAD"/>
    <w:rsid w:val="00C85395"/>
    <w:rsid w:val="00C87D7A"/>
    <w:rsid w:val="00C90708"/>
    <w:rsid w:val="00C979C7"/>
    <w:rsid w:val="00C97A55"/>
    <w:rsid w:val="00C97DBC"/>
    <w:rsid w:val="00CA118F"/>
    <w:rsid w:val="00CA14A1"/>
    <w:rsid w:val="00CA3566"/>
    <w:rsid w:val="00CA3AF8"/>
    <w:rsid w:val="00CA4077"/>
    <w:rsid w:val="00CA5A1A"/>
    <w:rsid w:val="00CA72C7"/>
    <w:rsid w:val="00CB09D2"/>
    <w:rsid w:val="00CB2188"/>
    <w:rsid w:val="00CB29DE"/>
    <w:rsid w:val="00CB39DC"/>
    <w:rsid w:val="00CB5151"/>
    <w:rsid w:val="00CB7DE5"/>
    <w:rsid w:val="00CC0DA1"/>
    <w:rsid w:val="00CC7C7E"/>
    <w:rsid w:val="00CD51ED"/>
    <w:rsid w:val="00CE2996"/>
    <w:rsid w:val="00CE2D27"/>
    <w:rsid w:val="00CE3A85"/>
    <w:rsid w:val="00CE49F2"/>
    <w:rsid w:val="00CE7C1B"/>
    <w:rsid w:val="00CF0C44"/>
    <w:rsid w:val="00CF7B92"/>
    <w:rsid w:val="00D03DE3"/>
    <w:rsid w:val="00D10907"/>
    <w:rsid w:val="00D11763"/>
    <w:rsid w:val="00D130D5"/>
    <w:rsid w:val="00D147D4"/>
    <w:rsid w:val="00D151E8"/>
    <w:rsid w:val="00D16737"/>
    <w:rsid w:val="00D20021"/>
    <w:rsid w:val="00D23EC6"/>
    <w:rsid w:val="00D260FE"/>
    <w:rsid w:val="00D4263D"/>
    <w:rsid w:val="00D4502A"/>
    <w:rsid w:val="00D53160"/>
    <w:rsid w:val="00D56784"/>
    <w:rsid w:val="00D603E4"/>
    <w:rsid w:val="00D6476A"/>
    <w:rsid w:val="00D676CD"/>
    <w:rsid w:val="00D76B32"/>
    <w:rsid w:val="00D8216E"/>
    <w:rsid w:val="00D8525A"/>
    <w:rsid w:val="00D879FE"/>
    <w:rsid w:val="00D9069E"/>
    <w:rsid w:val="00D95360"/>
    <w:rsid w:val="00DA18FB"/>
    <w:rsid w:val="00DA5CCD"/>
    <w:rsid w:val="00DA7D91"/>
    <w:rsid w:val="00DB5EEB"/>
    <w:rsid w:val="00DC3A1D"/>
    <w:rsid w:val="00DC62F5"/>
    <w:rsid w:val="00DD2731"/>
    <w:rsid w:val="00DD6303"/>
    <w:rsid w:val="00DD6AAD"/>
    <w:rsid w:val="00DE2B84"/>
    <w:rsid w:val="00DE6A6E"/>
    <w:rsid w:val="00DF27CE"/>
    <w:rsid w:val="00E014BE"/>
    <w:rsid w:val="00E02EB8"/>
    <w:rsid w:val="00E076F6"/>
    <w:rsid w:val="00E10791"/>
    <w:rsid w:val="00E110CE"/>
    <w:rsid w:val="00E13829"/>
    <w:rsid w:val="00E147F4"/>
    <w:rsid w:val="00E160B7"/>
    <w:rsid w:val="00E205A9"/>
    <w:rsid w:val="00E20BBF"/>
    <w:rsid w:val="00E2183A"/>
    <w:rsid w:val="00E2471D"/>
    <w:rsid w:val="00E25130"/>
    <w:rsid w:val="00E26704"/>
    <w:rsid w:val="00E32D29"/>
    <w:rsid w:val="00E35451"/>
    <w:rsid w:val="00E417E2"/>
    <w:rsid w:val="00E43447"/>
    <w:rsid w:val="00E45966"/>
    <w:rsid w:val="00E46BAA"/>
    <w:rsid w:val="00E50246"/>
    <w:rsid w:val="00E50545"/>
    <w:rsid w:val="00E531A9"/>
    <w:rsid w:val="00E54A0A"/>
    <w:rsid w:val="00E6164F"/>
    <w:rsid w:val="00E627B5"/>
    <w:rsid w:val="00E629B3"/>
    <w:rsid w:val="00E64121"/>
    <w:rsid w:val="00E667DA"/>
    <w:rsid w:val="00E674D4"/>
    <w:rsid w:val="00E70029"/>
    <w:rsid w:val="00E742C0"/>
    <w:rsid w:val="00E767C8"/>
    <w:rsid w:val="00E851CC"/>
    <w:rsid w:val="00E85E99"/>
    <w:rsid w:val="00E86B56"/>
    <w:rsid w:val="00E87006"/>
    <w:rsid w:val="00E90C22"/>
    <w:rsid w:val="00E95236"/>
    <w:rsid w:val="00E96965"/>
    <w:rsid w:val="00EA7202"/>
    <w:rsid w:val="00EB0907"/>
    <w:rsid w:val="00EB38FB"/>
    <w:rsid w:val="00EB7E2A"/>
    <w:rsid w:val="00EC00F2"/>
    <w:rsid w:val="00EC0F87"/>
    <w:rsid w:val="00EC15AA"/>
    <w:rsid w:val="00EC51CC"/>
    <w:rsid w:val="00EC5301"/>
    <w:rsid w:val="00EC5995"/>
    <w:rsid w:val="00EC7962"/>
    <w:rsid w:val="00ED579A"/>
    <w:rsid w:val="00EE2E97"/>
    <w:rsid w:val="00EE4E3D"/>
    <w:rsid w:val="00EE526B"/>
    <w:rsid w:val="00EF1DAD"/>
    <w:rsid w:val="00EF1FCB"/>
    <w:rsid w:val="00EF5A7A"/>
    <w:rsid w:val="00EF5CFB"/>
    <w:rsid w:val="00EF668F"/>
    <w:rsid w:val="00F060BB"/>
    <w:rsid w:val="00F0654D"/>
    <w:rsid w:val="00F14659"/>
    <w:rsid w:val="00F313AB"/>
    <w:rsid w:val="00F32957"/>
    <w:rsid w:val="00F32CF9"/>
    <w:rsid w:val="00F34B0C"/>
    <w:rsid w:val="00F406A1"/>
    <w:rsid w:val="00F475D7"/>
    <w:rsid w:val="00F61397"/>
    <w:rsid w:val="00F816AC"/>
    <w:rsid w:val="00F83025"/>
    <w:rsid w:val="00F90B23"/>
    <w:rsid w:val="00F91668"/>
    <w:rsid w:val="00F918DB"/>
    <w:rsid w:val="00F930E1"/>
    <w:rsid w:val="00F93654"/>
    <w:rsid w:val="00F939D1"/>
    <w:rsid w:val="00FA708B"/>
    <w:rsid w:val="00FB335F"/>
    <w:rsid w:val="00FC5D23"/>
    <w:rsid w:val="00FC79A8"/>
    <w:rsid w:val="00FD15DC"/>
    <w:rsid w:val="00FD256E"/>
    <w:rsid w:val="00FD3BF8"/>
    <w:rsid w:val="00FE2C30"/>
    <w:rsid w:val="00FE46AB"/>
    <w:rsid w:val="00FE534B"/>
    <w:rsid w:val="00FE54FF"/>
    <w:rsid w:val="00FE71DA"/>
    <w:rsid w:val="00FF0B2D"/>
    <w:rsid w:val="00FF37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AB28E-3E48-48C6-AE92-283E60A6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7DF"/>
    <w:pPr>
      <w:autoSpaceDE w:val="0"/>
      <w:autoSpaceDN w:val="0"/>
      <w:adjustRightInd w:val="0"/>
      <w:spacing w:before="200" w:after="0"/>
      <w:ind w:left="1146"/>
      <w:contextualSpacing/>
      <w:outlineLvl w:val="2"/>
    </w:pPr>
    <w:rPr>
      <w:rFonts w:ascii="Verdana" w:eastAsiaTheme="minorEastAsia" w:hAnsi="Verdana"/>
      <w:sz w:val="20"/>
      <w:szCs w:val="20"/>
      <w:lang w:val="en-US" w:bidi="en-US"/>
    </w:rPr>
  </w:style>
  <w:style w:type="paragraph" w:styleId="Heading1">
    <w:name w:val="heading 1"/>
    <w:next w:val="Normal"/>
    <w:link w:val="Heading1Char"/>
    <w:uiPriority w:val="9"/>
    <w:qFormat/>
    <w:rsid w:val="00847A97"/>
    <w:pPr>
      <w:contextualSpacing/>
      <w:outlineLvl w:val="0"/>
    </w:pPr>
    <w:rPr>
      <w:rFonts w:ascii="Verdana" w:eastAsiaTheme="minorEastAsia" w:hAnsi="Verdana"/>
      <w:b/>
      <w:sz w:val="20"/>
      <w:szCs w:val="20"/>
      <w:lang w:val="en-US" w:bidi="en-US"/>
    </w:rPr>
  </w:style>
  <w:style w:type="paragraph" w:styleId="Heading2">
    <w:name w:val="heading 2"/>
    <w:basedOn w:val="ListParagraph"/>
    <w:next w:val="Normal"/>
    <w:link w:val="Heading2Char"/>
    <w:uiPriority w:val="9"/>
    <w:unhideWhenUsed/>
    <w:qFormat/>
    <w:rsid w:val="00936869"/>
    <w:pPr>
      <w:numPr>
        <w:ilvl w:val="1"/>
        <w:numId w:val="1"/>
      </w:numPr>
      <w:outlineLvl w:val="1"/>
    </w:pPr>
    <w:rPr>
      <w:i/>
    </w:rPr>
  </w:style>
  <w:style w:type="paragraph" w:styleId="Heading3">
    <w:name w:val="heading 3"/>
    <w:basedOn w:val="Normal"/>
    <w:next w:val="Normal"/>
    <w:link w:val="Heading3Char"/>
    <w:uiPriority w:val="9"/>
    <w:unhideWhenUsed/>
    <w:qFormat/>
    <w:rsid w:val="00847A97"/>
    <w:pPr>
      <w:keepNext/>
      <w:keepLines/>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188"/>
    <w:pPr>
      <w:ind w:left="720"/>
    </w:pPr>
  </w:style>
  <w:style w:type="paragraph" w:customStyle="1" w:styleId="Default">
    <w:name w:val="Default"/>
    <w:rsid w:val="00DD630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769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9C7"/>
    <w:rPr>
      <w:rFonts w:ascii="Tahoma" w:hAnsi="Tahoma" w:cs="Tahoma"/>
      <w:sz w:val="16"/>
      <w:szCs w:val="16"/>
    </w:rPr>
  </w:style>
  <w:style w:type="character" w:styleId="Hyperlink">
    <w:name w:val="Hyperlink"/>
    <w:basedOn w:val="DefaultParagraphFont"/>
    <w:uiPriority w:val="99"/>
    <w:rsid w:val="00837D3D"/>
    <w:rPr>
      <w:rFonts w:cs="Times New Roman"/>
      <w:color w:val="0000FF"/>
      <w:u w:val="single"/>
    </w:rPr>
  </w:style>
  <w:style w:type="character" w:customStyle="1" w:styleId="Heading1Char">
    <w:name w:val="Heading 1 Char"/>
    <w:basedOn w:val="DefaultParagraphFont"/>
    <w:link w:val="Heading1"/>
    <w:uiPriority w:val="9"/>
    <w:rsid w:val="00847A97"/>
    <w:rPr>
      <w:rFonts w:ascii="Verdana" w:eastAsiaTheme="minorEastAsia" w:hAnsi="Verdana"/>
      <w:b/>
      <w:sz w:val="20"/>
      <w:szCs w:val="20"/>
      <w:lang w:val="en-US" w:bidi="en-US"/>
    </w:rPr>
  </w:style>
  <w:style w:type="paragraph" w:styleId="TOCHeading">
    <w:name w:val="TOC Heading"/>
    <w:basedOn w:val="Heading1"/>
    <w:next w:val="Normal"/>
    <w:uiPriority w:val="39"/>
    <w:unhideWhenUsed/>
    <w:qFormat/>
    <w:rsid w:val="00992CAD"/>
    <w:pPr>
      <w:outlineLvl w:val="9"/>
    </w:pPr>
    <w:rPr>
      <w:lang w:eastAsia="ja-JP"/>
    </w:rPr>
  </w:style>
  <w:style w:type="paragraph" w:styleId="TOC3">
    <w:name w:val="toc 3"/>
    <w:basedOn w:val="Normal"/>
    <w:next w:val="Normal"/>
    <w:autoRedefine/>
    <w:uiPriority w:val="39"/>
    <w:unhideWhenUsed/>
    <w:qFormat/>
    <w:rsid w:val="00992CAD"/>
    <w:pPr>
      <w:spacing w:after="100"/>
      <w:ind w:left="440"/>
    </w:pPr>
  </w:style>
  <w:style w:type="character" w:customStyle="1" w:styleId="Heading2Char">
    <w:name w:val="Heading 2 Char"/>
    <w:basedOn w:val="DefaultParagraphFont"/>
    <w:link w:val="Heading2"/>
    <w:uiPriority w:val="9"/>
    <w:rsid w:val="00936869"/>
    <w:rPr>
      <w:rFonts w:ascii="Verdana" w:eastAsiaTheme="minorEastAsia" w:hAnsi="Verdana"/>
      <w:i/>
      <w:sz w:val="20"/>
      <w:szCs w:val="20"/>
      <w:lang w:val="en-US" w:bidi="en-US"/>
    </w:rPr>
  </w:style>
  <w:style w:type="paragraph" w:styleId="TOC2">
    <w:name w:val="toc 2"/>
    <w:basedOn w:val="Normal"/>
    <w:next w:val="Normal"/>
    <w:autoRedefine/>
    <w:uiPriority w:val="39"/>
    <w:unhideWhenUsed/>
    <w:qFormat/>
    <w:rsid w:val="0042637F"/>
    <w:pPr>
      <w:tabs>
        <w:tab w:val="left" w:pos="1146"/>
        <w:tab w:val="right" w:leader="dot" w:pos="9016"/>
      </w:tabs>
      <w:spacing w:after="100"/>
      <w:ind w:left="0"/>
    </w:pPr>
    <w:rPr>
      <w:noProof/>
      <w:lang w:eastAsia="ja-JP"/>
    </w:rPr>
  </w:style>
  <w:style w:type="paragraph" w:styleId="TOC1">
    <w:name w:val="toc 1"/>
    <w:basedOn w:val="Heading1"/>
    <w:next w:val="Heading2"/>
    <w:autoRedefine/>
    <w:uiPriority w:val="39"/>
    <w:unhideWhenUsed/>
    <w:qFormat/>
    <w:rsid w:val="00A576BF"/>
    <w:pPr>
      <w:tabs>
        <w:tab w:val="left" w:pos="1760"/>
        <w:tab w:val="right" w:leader="dot" w:pos="9016"/>
      </w:tabs>
      <w:spacing w:after="100"/>
    </w:pPr>
    <w:rPr>
      <w:noProof/>
      <w:lang w:eastAsia="ja-JP"/>
    </w:rPr>
  </w:style>
  <w:style w:type="paragraph" w:styleId="TOC4">
    <w:name w:val="toc 4"/>
    <w:basedOn w:val="Normal"/>
    <w:next w:val="Normal"/>
    <w:autoRedefine/>
    <w:uiPriority w:val="39"/>
    <w:unhideWhenUsed/>
    <w:rsid w:val="001467DF"/>
    <w:pPr>
      <w:autoSpaceDE/>
      <w:autoSpaceDN/>
      <w:adjustRightInd/>
      <w:spacing w:before="0" w:after="100"/>
      <w:ind w:left="660"/>
      <w:contextualSpacing w:val="0"/>
      <w:outlineLvl w:val="9"/>
    </w:pPr>
    <w:rPr>
      <w:rFonts w:asciiTheme="minorHAnsi" w:hAnsiTheme="minorHAnsi"/>
      <w:sz w:val="22"/>
      <w:szCs w:val="22"/>
      <w:lang w:val="en-AU" w:eastAsia="en-AU" w:bidi="ar-SA"/>
    </w:rPr>
  </w:style>
  <w:style w:type="paragraph" w:styleId="TOC5">
    <w:name w:val="toc 5"/>
    <w:basedOn w:val="Normal"/>
    <w:next w:val="Normal"/>
    <w:autoRedefine/>
    <w:uiPriority w:val="39"/>
    <w:unhideWhenUsed/>
    <w:rsid w:val="001467DF"/>
    <w:pPr>
      <w:autoSpaceDE/>
      <w:autoSpaceDN/>
      <w:adjustRightInd/>
      <w:spacing w:before="0" w:after="100"/>
      <w:ind w:left="880"/>
      <w:contextualSpacing w:val="0"/>
      <w:outlineLvl w:val="9"/>
    </w:pPr>
    <w:rPr>
      <w:rFonts w:asciiTheme="minorHAnsi" w:hAnsiTheme="minorHAnsi"/>
      <w:sz w:val="22"/>
      <w:szCs w:val="22"/>
      <w:lang w:val="en-AU" w:eastAsia="en-AU" w:bidi="ar-SA"/>
    </w:rPr>
  </w:style>
  <w:style w:type="paragraph" w:styleId="TOC6">
    <w:name w:val="toc 6"/>
    <w:basedOn w:val="Normal"/>
    <w:next w:val="Normal"/>
    <w:autoRedefine/>
    <w:uiPriority w:val="39"/>
    <w:unhideWhenUsed/>
    <w:rsid w:val="001467DF"/>
    <w:pPr>
      <w:autoSpaceDE/>
      <w:autoSpaceDN/>
      <w:adjustRightInd/>
      <w:spacing w:before="0" w:after="100"/>
      <w:ind w:left="1100"/>
      <w:contextualSpacing w:val="0"/>
      <w:outlineLvl w:val="9"/>
    </w:pPr>
    <w:rPr>
      <w:rFonts w:asciiTheme="minorHAnsi" w:hAnsiTheme="minorHAnsi"/>
      <w:sz w:val="22"/>
      <w:szCs w:val="22"/>
      <w:lang w:val="en-AU" w:eastAsia="en-AU" w:bidi="ar-SA"/>
    </w:rPr>
  </w:style>
  <w:style w:type="paragraph" w:styleId="TOC7">
    <w:name w:val="toc 7"/>
    <w:basedOn w:val="Normal"/>
    <w:next w:val="Normal"/>
    <w:autoRedefine/>
    <w:uiPriority w:val="39"/>
    <w:unhideWhenUsed/>
    <w:rsid w:val="001467DF"/>
    <w:pPr>
      <w:autoSpaceDE/>
      <w:autoSpaceDN/>
      <w:adjustRightInd/>
      <w:spacing w:before="0" w:after="100"/>
      <w:ind w:left="1320"/>
      <w:contextualSpacing w:val="0"/>
      <w:outlineLvl w:val="9"/>
    </w:pPr>
    <w:rPr>
      <w:rFonts w:asciiTheme="minorHAnsi" w:hAnsiTheme="minorHAnsi"/>
      <w:sz w:val="22"/>
      <w:szCs w:val="22"/>
      <w:lang w:val="en-AU" w:eastAsia="en-AU" w:bidi="ar-SA"/>
    </w:rPr>
  </w:style>
  <w:style w:type="paragraph" w:styleId="TOC8">
    <w:name w:val="toc 8"/>
    <w:basedOn w:val="Normal"/>
    <w:next w:val="Normal"/>
    <w:autoRedefine/>
    <w:uiPriority w:val="39"/>
    <w:unhideWhenUsed/>
    <w:rsid w:val="001467DF"/>
    <w:pPr>
      <w:autoSpaceDE/>
      <w:autoSpaceDN/>
      <w:adjustRightInd/>
      <w:spacing w:before="0" w:after="100"/>
      <w:ind w:left="1540"/>
      <w:contextualSpacing w:val="0"/>
      <w:outlineLvl w:val="9"/>
    </w:pPr>
    <w:rPr>
      <w:rFonts w:asciiTheme="minorHAnsi" w:hAnsiTheme="minorHAnsi"/>
      <w:sz w:val="22"/>
      <w:szCs w:val="22"/>
      <w:lang w:val="en-AU" w:eastAsia="en-AU" w:bidi="ar-SA"/>
    </w:rPr>
  </w:style>
  <w:style w:type="paragraph" w:styleId="TOC9">
    <w:name w:val="toc 9"/>
    <w:basedOn w:val="Normal"/>
    <w:next w:val="Normal"/>
    <w:autoRedefine/>
    <w:uiPriority w:val="39"/>
    <w:unhideWhenUsed/>
    <w:rsid w:val="001467DF"/>
    <w:pPr>
      <w:autoSpaceDE/>
      <w:autoSpaceDN/>
      <w:adjustRightInd/>
      <w:spacing w:before="0" w:after="100"/>
      <w:ind w:left="1760"/>
      <w:contextualSpacing w:val="0"/>
      <w:outlineLvl w:val="9"/>
    </w:pPr>
    <w:rPr>
      <w:rFonts w:asciiTheme="minorHAnsi" w:hAnsiTheme="minorHAnsi"/>
      <w:sz w:val="22"/>
      <w:szCs w:val="22"/>
      <w:lang w:val="en-AU" w:eastAsia="en-AU" w:bidi="ar-SA"/>
    </w:rPr>
  </w:style>
  <w:style w:type="paragraph" w:styleId="NoSpacing">
    <w:name w:val="No Spacing"/>
    <w:uiPriority w:val="1"/>
    <w:qFormat/>
    <w:rsid w:val="00E85E99"/>
    <w:pPr>
      <w:autoSpaceDE w:val="0"/>
      <w:autoSpaceDN w:val="0"/>
      <w:adjustRightInd w:val="0"/>
      <w:spacing w:after="0" w:line="240" w:lineRule="auto"/>
      <w:ind w:left="1146"/>
      <w:contextualSpacing/>
      <w:outlineLvl w:val="2"/>
    </w:pPr>
    <w:rPr>
      <w:rFonts w:ascii="Verdana" w:eastAsiaTheme="minorEastAsia" w:hAnsi="Verdana"/>
      <w:sz w:val="20"/>
      <w:szCs w:val="20"/>
      <w:lang w:val="en-US" w:bidi="en-US"/>
    </w:rPr>
  </w:style>
  <w:style w:type="character" w:customStyle="1" w:styleId="Heading3Char">
    <w:name w:val="Heading 3 Char"/>
    <w:basedOn w:val="DefaultParagraphFont"/>
    <w:link w:val="Heading3"/>
    <w:uiPriority w:val="9"/>
    <w:rsid w:val="00847A97"/>
    <w:rPr>
      <w:rFonts w:asciiTheme="majorHAnsi" w:eastAsiaTheme="majorEastAsia" w:hAnsiTheme="majorHAnsi" w:cstheme="majorBidi"/>
      <w:b/>
      <w:bCs/>
      <w:color w:val="4F81BD" w:themeColor="accent1"/>
      <w:sz w:val="20"/>
      <w:szCs w:val="20"/>
      <w:lang w:val="en-US" w:bidi="en-US"/>
    </w:rPr>
  </w:style>
  <w:style w:type="paragraph" w:styleId="Header">
    <w:name w:val="header"/>
    <w:basedOn w:val="Normal"/>
    <w:link w:val="HeaderChar"/>
    <w:uiPriority w:val="99"/>
    <w:unhideWhenUsed/>
    <w:rsid w:val="00CA14A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A14A1"/>
    <w:rPr>
      <w:rFonts w:ascii="Verdana" w:eastAsiaTheme="minorEastAsia" w:hAnsi="Verdana"/>
      <w:sz w:val="20"/>
      <w:szCs w:val="20"/>
      <w:lang w:val="en-US" w:bidi="en-US"/>
    </w:rPr>
  </w:style>
  <w:style w:type="paragraph" w:styleId="Footer">
    <w:name w:val="footer"/>
    <w:basedOn w:val="Normal"/>
    <w:link w:val="FooterChar"/>
    <w:uiPriority w:val="99"/>
    <w:unhideWhenUsed/>
    <w:rsid w:val="00CA14A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14A1"/>
    <w:rPr>
      <w:rFonts w:ascii="Verdana" w:eastAsiaTheme="minorEastAsia" w:hAnsi="Verdana"/>
      <w:sz w:val="20"/>
      <w:szCs w:val="20"/>
      <w:lang w:val="en-US" w:bidi="en-US"/>
    </w:rPr>
  </w:style>
  <w:style w:type="character" w:styleId="FollowedHyperlink">
    <w:name w:val="FollowedHyperlink"/>
    <w:basedOn w:val="DefaultParagraphFont"/>
    <w:uiPriority w:val="99"/>
    <w:semiHidden/>
    <w:unhideWhenUsed/>
    <w:rsid w:val="00062985"/>
    <w:rPr>
      <w:color w:val="800080" w:themeColor="followedHyperlink"/>
      <w:u w:val="single"/>
    </w:rPr>
  </w:style>
  <w:style w:type="character" w:styleId="CommentReference">
    <w:name w:val="annotation reference"/>
    <w:basedOn w:val="DefaultParagraphFont"/>
    <w:uiPriority w:val="99"/>
    <w:semiHidden/>
    <w:unhideWhenUsed/>
    <w:rsid w:val="00D4502A"/>
    <w:rPr>
      <w:sz w:val="16"/>
      <w:szCs w:val="16"/>
    </w:rPr>
  </w:style>
  <w:style w:type="paragraph" w:styleId="CommentText">
    <w:name w:val="annotation text"/>
    <w:basedOn w:val="Normal"/>
    <w:link w:val="CommentTextChar"/>
    <w:uiPriority w:val="99"/>
    <w:unhideWhenUsed/>
    <w:rsid w:val="00D4502A"/>
    <w:pPr>
      <w:spacing w:line="240" w:lineRule="auto"/>
    </w:pPr>
  </w:style>
  <w:style w:type="character" w:customStyle="1" w:styleId="CommentTextChar">
    <w:name w:val="Comment Text Char"/>
    <w:basedOn w:val="DefaultParagraphFont"/>
    <w:link w:val="CommentText"/>
    <w:uiPriority w:val="99"/>
    <w:rsid w:val="00D4502A"/>
    <w:rPr>
      <w:rFonts w:ascii="Verdana" w:eastAsiaTheme="minorEastAsia" w:hAnsi="Verdana"/>
      <w:sz w:val="20"/>
      <w:szCs w:val="20"/>
      <w:lang w:val="en-US" w:bidi="en-US"/>
    </w:rPr>
  </w:style>
  <w:style w:type="paragraph" w:styleId="CommentSubject">
    <w:name w:val="annotation subject"/>
    <w:basedOn w:val="CommentText"/>
    <w:next w:val="CommentText"/>
    <w:link w:val="CommentSubjectChar"/>
    <w:uiPriority w:val="99"/>
    <w:semiHidden/>
    <w:unhideWhenUsed/>
    <w:rsid w:val="00D4502A"/>
    <w:rPr>
      <w:b/>
      <w:bCs/>
    </w:rPr>
  </w:style>
  <w:style w:type="character" w:customStyle="1" w:styleId="CommentSubjectChar">
    <w:name w:val="Comment Subject Char"/>
    <w:basedOn w:val="CommentTextChar"/>
    <w:link w:val="CommentSubject"/>
    <w:uiPriority w:val="99"/>
    <w:semiHidden/>
    <w:rsid w:val="00D4502A"/>
    <w:rPr>
      <w:rFonts w:ascii="Verdana" w:eastAsiaTheme="minorEastAsia" w:hAnsi="Verdana"/>
      <w:b/>
      <w:bCs/>
      <w:sz w:val="20"/>
      <w:szCs w:val="20"/>
      <w:lang w:val="en-US" w:bidi="en-US"/>
    </w:rPr>
  </w:style>
  <w:style w:type="table" w:styleId="TableGrid">
    <w:name w:val="Table Grid"/>
    <w:basedOn w:val="TableNormal"/>
    <w:uiPriority w:val="59"/>
    <w:rsid w:val="00651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1B6F"/>
  </w:style>
  <w:style w:type="paragraph" w:customStyle="1" w:styleId="Style1">
    <w:name w:val="Style1"/>
    <w:basedOn w:val="Normal"/>
    <w:link w:val="Style1Char"/>
    <w:qFormat/>
    <w:rsid w:val="00936869"/>
    <w:pPr>
      <w:autoSpaceDE/>
      <w:autoSpaceDN/>
      <w:adjustRightInd/>
      <w:spacing w:before="120" w:after="120"/>
      <w:ind w:left="0"/>
      <w:contextualSpacing w:val="0"/>
      <w:jc w:val="both"/>
      <w:outlineLvl w:val="9"/>
    </w:pPr>
    <w:rPr>
      <w:rFonts w:eastAsiaTheme="minorHAnsi"/>
      <w:lang w:val="en-AU" w:bidi="ar-SA"/>
    </w:rPr>
  </w:style>
  <w:style w:type="character" w:customStyle="1" w:styleId="Style1Char">
    <w:name w:val="Style1 Char"/>
    <w:basedOn w:val="DefaultParagraphFont"/>
    <w:link w:val="Style1"/>
    <w:rsid w:val="00936869"/>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47471">
      <w:bodyDiv w:val="1"/>
      <w:marLeft w:val="0"/>
      <w:marRight w:val="0"/>
      <w:marTop w:val="0"/>
      <w:marBottom w:val="0"/>
      <w:divBdr>
        <w:top w:val="none" w:sz="0" w:space="0" w:color="auto"/>
        <w:left w:val="none" w:sz="0" w:space="0" w:color="auto"/>
        <w:bottom w:val="none" w:sz="0" w:space="0" w:color="auto"/>
        <w:right w:val="none" w:sz="0" w:space="0" w:color="auto"/>
      </w:divBdr>
      <w:divsChild>
        <w:div w:id="196040503">
          <w:marLeft w:val="0"/>
          <w:marRight w:val="0"/>
          <w:marTop w:val="0"/>
          <w:marBottom w:val="0"/>
          <w:divBdr>
            <w:top w:val="none" w:sz="0" w:space="0" w:color="auto"/>
            <w:left w:val="none" w:sz="0" w:space="0" w:color="auto"/>
            <w:bottom w:val="none" w:sz="0" w:space="0" w:color="auto"/>
            <w:right w:val="none" w:sz="0" w:space="0" w:color="auto"/>
          </w:divBdr>
          <w:divsChild>
            <w:div w:id="322512132">
              <w:marLeft w:val="0"/>
              <w:marRight w:val="0"/>
              <w:marTop w:val="0"/>
              <w:marBottom w:val="0"/>
              <w:divBdr>
                <w:top w:val="none" w:sz="0" w:space="0" w:color="auto"/>
                <w:left w:val="none" w:sz="0" w:space="0" w:color="auto"/>
                <w:bottom w:val="none" w:sz="0" w:space="0" w:color="auto"/>
                <w:right w:val="none" w:sz="0" w:space="0" w:color="auto"/>
              </w:divBdr>
              <w:divsChild>
                <w:div w:id="793017710">
                  <w:marLeft w:val="0"/>
                  <w:marRight w:val="0"/>
                  <w:marTop w:val="0"/>
                  <w:marBottom w:val="0"/>
                  <w:divBdr>
                    <w:top w:val="none" w:sz="0" w:space="0" w:color="auto"/>
                    <w:left w:val="none" w:sz="0" w:space="0" w:color="auto"/>
                    <w:bottom w:val="none" w:sz="0" w:space="0" w:color="auto"/>
                    <w:right w:val="none" w:sz="0" w:space="0" w:color="auto"/>
                  </w:divBdr>
                  <w:divsChild>
                    <w:div w:id="623772753">
                      <w:marLeft w:val="0"/>
                      <w:marRight w:val="0"/>
                      <w:marTop w:val="0"/>
                      <w:marBottom w:val="0"/>
                      <w:divBdr>
                        <w:top w:val="none" w:sz="0" w:space="0" w:color="auto"/>
                        <w:left w:val="none" w:sz="0" w:space="0" w:color="auto"/>
                        <w:bottom w:val="none" w:sz="0" w:space="0" w:color="auto"/>
                        <w:right w:val="none" w:sz="0" w:space="0" w:color="auto"/>
                      </w:divBdr>
                      <w:divsChild>
                        <w:div w:id="19982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935275">
      <w:bodyDiv w:val="1"/>
      <w:marLeft w:val="0"/>
      <w:marRight w:val="0"/>
      <w:marTop w:val="0"/>
      <w:marBottom w:val="0"/>
      <w:divBdr>
        <w:top w:val="none" w:sz="0" w:space="0" w:color="auto"/>
        <w:left w:val="none" w:sz="0" w:space="0" w:color="auto"/>
        <w:bottom w:val="none" w:sz="0" w:space="0" w:color="auto"/>
        <w:right w:val="none" w:sz="0" w:space="0" w:color="auto"/>
      </w:divBdr>
    </w:div>
    <w:div w:id="661347476">
      <w:bodyDiv w:val="1"/>
      <w:marLeft w:val="0"/>
      <w:marRight w:val="0"/>
      <w:marTop w:val="0"/>
      <w:marBottom w:val="0"/>
      <w:divBdr>
        <w:top w:val="none" w:sz="0" w:space="0" w:color="auto"/>
        <w:left w:val="none" w:sz="0" w:space="0" w:color="auto"/>
        <w:bottom w:val="none" w:sz="0" w:space="0" w:color="auto"/>
        <w:right w:val="none" w:sz="0" w:space="0" w:color="auto"/>
      </w:divBdr>
    </w:div>
    <w:div w:id="985549886">
      <w:bodyDiv w:val="1"/>
      <w:marLeft w:val="0"/>
      <w:marRight w:val="0"/>
      <w:marTop w:val="0"/>
      <w:marBottom w:val="0"/>
      <w:divBdr>
        <w:top w:val="none" w:sz="0" w:space="0" w:color="auto"/>
        <w:left w:val="none" w:sz="0" w:space="0" w:color="auto"/>
        <w:bottom w:val="none" w:sz="0" w:space="0" w:color="auto"/>
        <w:right w:val="none" w:sz="0" w:space="0" w:color="auto"/>
      </w:divBdr>
    </w:div>
    <w:div w:id="1145439171">
      <w:bodyDiv w:val="1"/>
      <w:marLeft w:val="0"/>
      <w:marRight w:val="0"/>
      <w:marTop w:val="0"/>
      <w:marBottom w:val="0"/>
      <w:divBdr>
        <w:top w:val="none" w:sz="0" w:space="0" w:color="auto"/>
        <w:left w:val="none" w:sz="0" w:space="0" w:color="auto"/>
        <w:bottom w:val="none" w:sz="0" w:space="0" w:color="auto"/>
        <w:right w:val="none" w:sz="0" w:space="0" w:color="auto"/>
      </w:divBdr>
    </w:div>
    <w:div w:id="1528374892">
      <w:bodyDiv w:val="1"/>
      <w:marLeft w:val="0"/>
      <w:marRight w:val="0"/>
      <w:marTop w:val="0"/>
      <w:marBottom w:val="0"/>
      <w:divBdr>
        <w:top w:val="none" w:sz="0" w:space="0" w:color="auto"/>
        <w:left w:val="none" w:sz="0" w:space="0" w:color="auto"/>
        <w:bottom w:val="none" w:sz="0" w:space="0" w:color="auto"/>
        <w:right w:val="none" w:sz="0" w:space="0" w:color="auto"/>
      </w:divBdr>
    </w:div>
    <w:div w:id="1608269534">
      <w:bodyDiv w:val="1"/>
      <w:marLeft w:val="0"/>
      <w:marRight w:val="0"/>
      <w:marTop w:val="0"/>
      <w:marBottom w:val="0"/>
      <w:divBdr>
        <w:top w:val="none" w:sz="0" w:space="0" w:color="auto"/>
        <w:left w:val="none" w:sz="0" w:space="0" w:color="auto"/>
        <w:bottom w:val="none" w:sz="0" w:space="0" w:color="auto"/>
        <w:right w:val="none" w:sz="0" w:space="0" w:color="auto"/>
      </w:divBdr>
    </w:div>
    <w:div w:id="181194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nny.sharples@vu.edu.au" TargetMode="External"/><Relationship Id="rId18" Type="http://schemas.openxmlformats.org/officeDocument/2006/relationships/hyperlink" Target="mailto:tbednall@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os.knight@mq.edu.au" TargetMode="External"/><Relationship Id="rId17" Type="http://schemas.openxmlformats.org/officeDocument/2006/relationships/hyperlink" Target="mailto:e.strodl@qut.edu.au" TargetMode="External"/><Relationship Id="rId2" Type="http://schemas.openxmlformats.org/officeDocument/2006/relationships/numbering" Target="numbering.xml"/><Relationship Id="rId16" Type="http://schemas.openxmlformats.org/officeDocument/2006/relationships/hyperlink" Target="mailto:gavan.palk@qut.edu.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rowe@latrobe.edu.au" TargetMode="External"/><Relationship Id="rId5" Type="http://schemas.openxmlformats.org/officeDocument/2006/relationships/webSettings" Target="webSettings.xml"/><Relationship Id="rId15" Type="http://schemas.openxmlformats.org/officeDocument/2006/relationships/hyperlink" Target="mailto:john.roodenburg@monash.edu" TargetMode="External"/><Relationship Id="rId10" Type="http://schemas.openxmlformats.org/officeDocument/2006/relationships/hyperlink" Target="mailto:s.hammond@psychology.org.au" TargetMode="External"/><Relationship Id="rId19" Type="http://schemas.openxmlformats.org/officeDocument/2006/relationships/hyperlink" Target="mailto:shaynehanks@gmail.com" TargetMode="External"/><Relationship Id="rId4" Type="http://schemas.openxmlformats.org/officeDocument/2006/relationships/settings" Target="settings.xml"/><Relationship Id="rId9" Type="http://schemas.openxmlformats.org/officeDocument/2006/relationships/hyperlink" Target="mailto:l.littlefield@psychology.org.au" TargetMode="External"/><Relationship Id="rId14" Type="http://schemas.openxmlformats.org/officeDocument/2006/relationships/hyperlink" Target="mailto:michael@michaeldimatti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84195-DBB0-4CB5-A207-65189A60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10901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Ending the higher degree exemption from sitting the National Psychology Exam - APS</dc:title>
  <dc:subject>Submission</dc:subject>
  <dc:creator>Psychology Board</dc:creator>
  <cp:lastModifiedBy>Sheryl Kamath</cp:lastModifiedBy>
  <cp:revision>2</cp:revision>
  <cp:lastPrinted>2015-06-18T08:40:00Z</cp:lastPrinted>
  <dcterms:created xsi:type="dcterms:W3CDTF">2015-11-03T23:21:00Z</dcterms:created>
  <dcterms:modified xsi:type="dcterms:W3CDTF">2015-11-03T23:21:00Z</dcterms:modified>
</cp:coreProperties>
</file>